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7C9" w:rsidRDefault="000867C9">
      <w:pPr>
        <w:jc w:val="center"/>
        <w:rPr>
          <w:rFonts w:ascii="Times New Roman" w:eastAsia="宋体" w:hAnsi="Times New Roman" w:cs="Times New Roman"/>
          <w:sz w:val="32"/>
          <w:szCs w:val="32"/>
        </w:rPr>
      </w:pPr>
    </w:p>
    <w:p w:rsidR="000867C9" w:rsidRDefault="000867C9">
      <w:pPr>
        <w:spacing w:line="360" w:lineRule="auto"/>
        <w:jc w:val="center"/>
        <w:rPr>
          <w:rFonts w:ascii="Calibri" w:eastAsia="宋体" w:hAnsi="Calibri" w:cs="Times New Roman"/>
          <w:b/>
          <w:sz w:val="72"/>
        </w:rPr>
      </w:pPr>
    </w:p>
    <w:p w:rsidR="000867C9" w:rsidRDefault="00682DEE">
      <w:pPr>
        <w:spacing w:line="360" w:lineRule="auto"/>
        <w:jc w:val="center"/>
        <w:rPr>
          <w:rFonts w:ascii="Calibri" w:eastAsia="宋体" w:hAnsi="Calibri" w:cs="Times New Roman"/>
          <w:sz w:val="72"/>
        </w:rPr>
      </w:pPr>
      <w:r>
        <w:rPr>
          <w:rFonts w:ascii="Calibri" w:eastAsia="宋体" w:hAnsi="Calibri" w:cs="Times New Roman" w:hint="eastAsia"/>
          <w:b/>
          <w:sz w:val="72"/>
        </w:rPr>
        <w:t>南</w:t>
      </w:r>
      <w:r>
        <w:rPr>
          <w:rFonts w:ascii="Calibri" w:eastAsia="宋体" w:hAnsi="Calibri" w:cs="Times New Roman"/>
          <w:b/>
          <w:sz w:val="72"/>
        </w:rPr>
        <w:t xml:space="preserve"> </w:t>
      </w:r>
      <w:r>
        <w:rPr>
          <w:rFonts w:ascii="Calibri" w:eastAsia="宋体" w:hAnsi="Calibri" w:cs="Times New Roman" w:hint="eastAsia"/>
          <w:b/>
          <w:sz w:val="72"/>
        </w:rPr>
        <w:t>开</w:t>
      </w:r>
      <w:r>
        <w:rPr>
          <w:rFonts w:ascii="Calibri" w:eastAsia="宋体" w:hAnsi="Calibri" w:cs="Times New Roman"/>
          <w:b/>
          <w:sz w:val="72"/>
        </w:rPr>
        <w:t xml:space="preserve"> </w:t>
      </w:r>
      <w:r>
        <w:rPr>
          <w:rFonts w:ascii="Calibri" w:eastAsia="宋体" w:hAnsi="Calibri" w:cs="Times New Roman" w:hint="eastAsia"/>
          <w:b/>
          <w:sz w:val="72"/>
        </w:rPr>
        <w:t>大</w:t>
      </w:r>
      <w:r>
        <w:rPr>
          <w:rFonts w:ascii="Calibri" w:eastAsia="宋体" w:hAnsi="Calibri" w:cs="Times New Roman"/>
          <w:b/>
          <w:sz w:val="72"/>
        </w:rPr>
        <w:t xml:space="preserve"> </w:t>
      </w:r>
      <w:r>
        <w:rPr>
          <w:rFonts w:ascii="Calibri" w:eastAsia="宋体" w:hAnsi="Calibri" w:cs="Times New Roman" w:hint="eastAsia"/>
          <w:b/>
          <w:sz w:val="72"/>
        </w:rPr>
        <w:t>学</w:t>
      </w:r>
    </w:p>
    <w:p w:rsidR="000867C9" w:rsidRDefault="000867C9">
      <w:pPr>
        <w:spacing w:line="360" w:lineRule="auto"/>
        <w:jc w:val="center"/>
        <w:rPr>
          <w:rFonts w:ascii="Calibri" w:eastAsia="宋体" w:hAnsi="Calibri" w:cs="Times New Roman"/>
        </w:rPr>
      </w:pPr>
    </w:p>
    <w:p w:rsidR="000867C9" w:rsidRDefault="00682DEE">
      <w:pPr>
        <w:spacing w:line="360" w:lineRule="auto"/>
        <w:jc w:val="center"/>
        <w:rPr>
          <w:rFonts w:ascii="Calibri" w:eastAsia="宋体" w:hAnsi="Calibri" w:cs="Times New Roman"/>
          <w:b/>
          <w:sz w:val="52"/>
        </w:rPr>
      </w:pPr>
      <w:r>
        <w:rPr>
          <w:rFonts w:ascii="Calibri" w:eastAsia="宋体" w:hAnsi="Calibri" w:cs="Times New Roman" w:hint="eastAsia"/>
          <w:b/>
          <w:sz w:val="52"/>
        </w:rPr>
        <w:t>本</w:t>
      </w:r>
      <w:r>
        <w:rPr>
          <w:rFonts w:ascii="Calibri" w:eastAsia="宋体" w:hAnsi="Calibri" w:cs="Times New Roman"/>
          <w:b/>
          <w:sz w:val="52"/>
        </w:rPr>
        <w:t xml:space="preserve"> </w:t>
      </w:r>
      <w:r>
        <w:rPr>
          <w:rFonts w:ascii="Calibri" w:eastAsia="宋体" w:hAnsi="Calibri" w:cs="Times New Roman" w:hint="eastAsia"/>
          <w:b/>
          <w:sz w:val="52"/>
        </w:rPr>
        <w:t>科</w:t>
      </w:r>
      <w:r>
        <w:rPr>
          <w:rFonts w:ascii="Calibri" w:eastAsia="宋体" w:hAnsi="Calibri" w:cs="Times New Roman"/>
          <w:b/>
          <w:sz w:val="52"/>
        </w:rPr>
        <w:t xml:space="preserve"> </w:t>
      </w:r>
      <w:r>
        <w:rPr>
          <w:rFonts w:ascii="Calibri" w:eastAsia="宋体" w:hAnsi="Calibri" w:cs="Times New Roman" w:hint="eastAsia"/>
          <w:b/>
          <w:sz w:val="52"/>
        </w:rPr>
        <w:t>生</w:t>
      </w:r>
      <w:r>
        <w:rPr>
          <w:rFonts w:ascii="Calibri" w:eastAsia="宋体" w:hAnsi="Calibri" w:cs="Times New Roman"/>
          <w:b/>
          <w:sz w:val="52"/>
        </w:rPr>
        <w:t xml:space="preserve"> </w:t>
      </w:r>
      <w:r>
        <w:rPr>
          <w:rFonts w:ascii="Calibri" w:eastAsia="宋体" w:hAnsi="Calibri" w:cs="Times New Roman" w:hint="eastAsia"/>
          <w:b/>
          <w:sz w:val="52"/>
        </w:rPr>
        <w:t>学</w:t>
      </w:r>
      <w:r>
        <w:rPr>
          <w:rFonts w:ascii="Calibri" w:eastAsia="宋体" w:hAnsi="Calibri" w:cs="Times New Roman"/>
          <w:b/>
          <w:sz w:val="52"/>
        </w:rPr>
        <w:t xml:space="preserve"> </w:t>
      </w:r>
      <w:r>
        <w:rPr>
          <w:rFonts w:ascii="Calibri" w:eastAsia="宋体" w:hAnsi="Calibri" w:cs="Times New Roman" w:hint="eastAsia"/>
          <w:b/>
          <w:sz w:val="52"/>
        </w:rPr>
        <w:t>年</w:t>
      </w:r>
      <w:r>
        <w:rPr>
          <w:rFonts w:ascii="Calibri" w:eastAsia="宋体" w:hAnsi="Calibri" w:cs="Times New Roman"/>
          <w:b/>
          <w:sz w:val="52"/>
        </w:rPr>
        <w:t xml:space="preserve"> </w:t>
      </w:r>
      <w:r>
        <w:rPr>
          <w:rFonts w:ascii="Calibri" w:eastAsia="宋体" w:hAnsi="Calibri" w:cs="Times New Roman" w:hint="eastAsia"/>
          <w:b/>
          <w:sz w:val="52"/>
        </w:rPr>
        <w:t>论</w:t>
      </w:r>
      <w:r>
        <w:rPr>
          <w:rFonts w:ascii="Calibri" w:eastAsia="宋体" w:hAnsi="Calibri" w:cs="Times New Roman"/>
          <w:b/>
          <w:sz w:val="52"/>
        </w:rPr>
        <w:t xml:space="preserve"> </w:t>
      </w:r>
      <w:r>
        <w:rPr>
          <w:rFonts w:ascii="Calibri" w:eastAsia="宋体" w:hAnsi="Calibri" w:cs="Times New Roman" w:hint="eastAsia"/>
          <w:b/>
          <w:sz w:val="52"/>
        </w:rPr>
        <w:t>文</w:t>
      </w:r>
    </w:p>
    <w:p w:rsidR="000867C9" w:rsidRDefault="000867C9">
      <w:pPr>
        <w:jc w:val="center"/>
        <w:rPr>
          <w:rFonts w:ascii="Calibri" w:eastAsia="宋体" w:hAnsi="Calibri" w:cs="Times New Roman"/>
          <w:sz w:val="44"/>
        </w:rPr>
      </w:pPr>
    </w:p>
    <w:p w:rsidR="000867C9" w:rsidRDefault="000867C9">
      <w:pPr>
        <w:jc w:val="center"/>
        <w:rPr>
          <w:rFonts w:ascii="Calibri" w:eastAsia="宋体" w:hAnsi="Calibri" w:cs="Times New Roman"/>
          <w:sz w:val="28"/>
        </w:rPr>
      </w:pPr>
    </w:p>
    <w:p w:rsidR="000867C9" w:rsidRDefault="000867C9">
      <w:pPr>
        <w:jc w:val="center"/>
        <w:rPr>
          <w:rFonts w:ascii="Calibri" w:eastAsia="宋体" w:hAnsi="Calibri" w:cs="Times New Roman"/>
          <w:sz w:val="30"/>
        </w:rPr>
      </w:pPr>
    </w:p>
    <w:p w:rsidR="000867C9" w:rsidRPr="0037530B" w:rsidRDefault="00682DEE">
      <w:pPr>
        <w:jc w:val="center"/>
        <w:rPr>
          <w:rFonts w:ascii="Calibri" w:eastAsia="宋体" w:hAnsi="Calibri" w:cs="Times New Roman"/>
          <w:b/>
          <w:sz w:val="30"/>
          <w:u w:val="thick"/>
        </w:rPr>
      </w:pPr>
      <w:r>
        <w:rPr>
          <w:rFonts w:ascii="Calibri" w:eastAsia="宋体" w:hAnsi="Calibri" w:cs="Times New Roman" w:hint="eastAsia"/>
          <w:b/>
          <w:sz w:val="30"/>
        </w:rPr>
        <w:t>题目：</w:t>
      </w:r>
      <w:r w:rsidRPr="0037530B">
        <w:rPr>
          <w:rFonts w:ascii="Calibri" w:eastAsia="宋体" w:hAnsi="Calibri" w:cs="Times New Roman" w:hint="eastAsia"/>
          <w:b/>
          <w:sz w:val="30"/>
          <w:u w:val="thick"/>
        </w:rPr>
        <w:t xml:space="preserve">  </w:t>
      </w:r>
      <w:r w:rsidRPr="0037530B">
        <w:rPr>
          <w:rFonts w:ascii="Calibri" w:eastAsia="宋体" w:hAnsi="Calibri" w:cs="Times New Roman" w:hint="eastAsia"/>
          <w:b/>
          <w:sz w:val="30"/>
          <w:u w:val="thick"/>
        </w:rPr>
        <w:t>仁者知觉</w:t>
      </w:r>
      <w:r w:rsidRPr="0037530B">
        <w:rPr>
          <w:rFonts w:ascii="Calibri" w:eastAsia="宋体" w:hAnsi="Calibri" w:cs="Times New Roman" w:hint="eastAsia"/>
          <w:b/>
          <w:sz w:val="30"/>
          <w:u w:val="thick"/>
        </w:rPr>
        <w:t xml:space="preserve"> </w:t>
      </w:r>
      <w:r w:rsidR="004608CA" w:rsidRPr="0037530B">
        <w:rPr>
          <w:rFonts w:ascii="Calibri" w:eastAsia="宋体" w:hAnsi="Calibri" w:cs="Times New Roman" w:hint="eastAsia"/>
          <w:b/>
          <w:sz w:val="30"/>
          <w:u w:val="thick"/>
        </w:rPr>
        <w:t xml:space="preserve"> </w:t>
      </w:r>
      <w:r w:rsidRPr="0037530B">
        <w:rPr>
          <w:rFonts w:ascii="Calibri" w:eastAsia="宋体" w:hAnsi="Calibri" w:cs="Times New Roman" w:hint="eastAsia"/>
          <w:b/>
          <w:sz w:val="30"/>
          <w:u w:val="thick"/>
        </w:rPr>
        <w:t>与物同体</w:t>
      </w:r>
    </w:p>
    <w:p w:rsidR="000867C9" w:rsidRDefault="00682DEE">
      <w:pPr>
        <w:ind w:firstLineChars="1000" w:firstLine="3012"/>
        <w:rPr>
          <w:rFonts w:ascii="Calibri" w:eastAsia="宋体" w:hAnsi="Calibri" w:cs="Times New Roman"/>
          <w:b/>
          <w:sz w:val="30"/>
          <w:highlight w:val="cyan"/>
          <w:u w:val="thick"/>
        </w:rPr>
      </w:pPr>
      <w:r w:rsidRPr="0037530B">
        <w:rPr>
          <w:rFonts w:ascii="Calibri" w:eastAsia="宋体" w:hAnsi="Calibri" w:cs="Times New Roman" w:hint="eastAsia"/>
          <w:b/>
          <w:sz w:val="30"/>
          <w:u w:val="thick"/>
        </w:rPr>
        <w:t>——程颢仁学思想的创立与开展</w:t>
      </w:r>
    </w:p>
    <w:p w:rsidR="000867C9" w:rsidRDefault="000867C9">
      <w:pPr>
        <w:jc w:val="center"/>
        <w:rPr>
          <w:rFonts w:ascii="Calibri" w:eastAsia="宋体" w:hAnsi="Calibri" w:cs="Times New Roman"/>
          <w:b/>
          <w:sz w:val="30"/>
          <w:u w:val="single"/>
        </w:rPr>
      </w:pPr>
    </w:p>
    <w:p w:rsidR="000867C9" w:rsidRDefault="000867C9">
      <w:pPr>
        <w:jc w:val="center"/>
        <w:rPr>
          <w:rFonts w:ascii="Calibri" w:eastAsia="宋体" w:hAnsi="Calibri" w:cs="Times New Roman"/>
          <w:sz w:val="30"/>
        </w:rPr>
      </w:pPr>
    </w:p>
    <w:p w:rsidR="000867C9" w:rsidRDefault="000867C9">
      <w:pPr>
        <w:jc w:val="center"/>
        <w:rPr>
          <w:rFonts w:ascii="Calibri" w:eastAsia="宋体" w:hAnsi="Calibri" w:cs="Times New Roman"/>
          <w:sz w:val="28"/>
          <w:u w:val="single"/>
        </w:rPr>
      </w:pPr>
    </w:p>
    <w:p w:rsidR="000867C9" w:rsidRDefault="00682DEE">
      <w:pPr>
        <w:spacing w:line="360" w:lineRule="auto"/>
        <w:ind w:firstLineChars="800" w:firstLine="2249"/>
        <w:rPr>
          <w:rFonts w:ascii="Calibri" w:eastAsia="宋体" w:hAnsi="Calibri" w:cs="Times New Roman"/>
          <w:sz w:val="28"/>
        </w:rPr>
      </w:pPr>
      <w:r>
        <w:rPr>
          <w:rFonts w:ascii="Calibri" w:eastAsia="宋体" w:hAnsi="Calibri" w:cs="Times New Roman" w:hint="eastAsia"/>
          <w:b/>
          <w:sz w:val="28"/>
        </w:rPr>
        <w:t>学</w:t>
      </w:r>
      <w:r>
        <w:rPr>
          <w:rFonts w:ascii="Calibri" w:eastAsia="宋体" w:hAnsi="Calibri" w:cs="Times New Roman"/>
          <w:b/>
          <w:sz w:val="28"/>
        </w:rPr>
        <w:t xml:space="preserve">    </w:t>
      </w:r>
      <w:r>
        <w:rPr>
          <w:rFonts w:ascii="Calibri" w:eastAsia="宋体" w:hAnsi="Calibri" w:cs="Times New Roman" w:hint="eastAsia"/>
          <w:b/>
          <w:sz w:val="28"/>
        </w:rPr>
        <w:t>号：</w:t>
      </w:r>
      <w:r>
        <w:rPr>
          <w:rFonts w:ascii="Calibri" w:eastAsia="宋体" w:hAnsi="Calibri" w:cs="Times New Roman"/>
          <w:sz w:val="28"/>
          <w:u w:val="single"/>
        </w:rPr>
        <w:t xml:space="preserve">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  1411361</w:t>
      </w:r>
      <w:r>
        <w:rPr>
          <w:rFonts w:ascii="Calibri" w:eastAsia="宋体" w:hAnsi="Calibri" w:cs="Times New Roman" w:hint="eastAsia"/>
          <w:sz w:val="28"/>
          <w:u w:val="single"/>
        </w:rPr>
        <w:t xml:space="preserve">　</w:t>
      </w:r>
      <w:r>
        <w:rPr>
          <w:rFonts w:ascii="Calibri" w:eastAsia="宋体" w:hAnsi="Calibri" w:cs="Times New Roman"/>
          <w:sz w:val="28"/>
          <w:u w:val="single"/>
        </w:rPr>
        <w:t xml:space="preserve">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 </w:t>
      </w:r>
    </w:p>
    <w:p w:rsidR="000867C9" w:rsidRDefault="00682DEE">
      <w:pPr>
        <w:spacing w:line="360" w:lineRule="auto"/>
        <w:ind w:firstLineChars="800" w:firstLine="2249"/>
        <w:rPr>
          <w:rFonts w:ascii="Calibri" w:eastAsia="宋体" w:hAnsi="Calibri" w:cs="Times New Roman"/>
          <w:sz w:val="28"/>
        </w:rPr>
      </w:pPr>
      <w:r>
        <w:rPr>
          <w:rFonts w:ascii="Calibri" w:eastAsia="宋体" w:hAnsi="Calibri" w:cs="Times New Roman" w:hint="eastAsia"/>
          <w:b/>
          <w:sz w:val="28"/>
        </w:rPr>
        <w:t>姓</w:t>
      </w:r>
      <w:r>
        <w:rPr>
          <w:rFonts w:ascii="Calibri" w:eastAsia="宋体" w:hAnsi="Calibri" w:cs="Times New Roman"/>
          <w:b/>
          <w:sz w:val="28"/>
        </w:rPr>
        <w:t xml:space="preserve">    </w:t>
      </w:r>
      <w:r>
        <w:rPr>
          <w:rFonts w:ascii="Calibri" w:eastAsia="宋体" w:hAnsi="Calibri" w:cs="Times New Roman" w:hint="eastAsia"/>
          <w:b/>
          <w:sz w:val="28"/>
        </w:rPr>
        <w:t>名：</w:t>
      </w:r>
      <w:r>
        <w:rPr>
          <w:rFonts w:ascii="Calibri" w:eastAsia="宋体" w:hAnsi="Calibri" w:cs="Times New Roman"/>
          <w:sz w:val="28"/>
          <w:u w:val="single"/>
        </w:rPr>
        <w:t xml:space="preserve">  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</w:t>
      </w:r>
      <w:r>
        <w:rPr>
          <w:rFonts w:ascii="Calibri" w:eastAsia="宋体" w:hAnsi="Calibri" w:cs="Times New Roman" w:hint="eastAsia"/>
          <w:sz w:val="28"/>
          <w:u w:val="single"/>
        </w:rPr>
        <w:t>田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晴　</w:t>
      </w:r>
      <w:r>
        <w:rPr>
          <w:rFonts w:ascii="Calibri" w:eastAsia="宋体" w:hAnsi="Calibri" w:cs="Times New Roman"/>
          <w:sz w:val="28"/>
          <w:u w:val="single"/>
        </w:rPr>
        <w:t xml:space="preserve">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   </w:t>
      </w:r>
    </w:p>
    <w:p w:rsidR="000867C9" w:rsidRDefault="00682DEE">
      <w:pPr>
        <w:spacing w:line="360" w:lineRule="auto"/>
        <w:ind w:firstLineChars="800" w:firstLine="2249"/>
        <w:rPr>
          <w:rFonts w:ascii="Calibri" w:eastAsia="宋体" w:hAnsi="Calibri" w:cs="Times New Roman"/>
          <w:sz w:val="28"/>
          <w:u w:val="single"/>
        </w:rPr>
      </w:pPr>
      <w:r>
        <w:rPr>
          <w:rFonts w:ascii="Calibri" w:eastAsia="宋体" w:hAnsi="Calibri" w:cs="Times New Roman" w:hint="eastAsia"/>
          <w:b/>
          <w:sz w:val="28"/>
        </w:rPr>
        <w:t>年</w:t>
      </w:r>
      <w:r>
        <w:rPr>
          <w:rFonts w:ascii="Calibri" w:eastAsia="宋体" w:hAnsi="Calibri" w:cs="Times New Roman"/>
          <w:b/>
          <w:sz w:val="28"/>
        </w:rPr>
        <w:t xml:space="preserve">    </w:t>
      </w:r>
      <w:r>
        <w:rPr>
          <w:rFonts w:ascii="Calibri" w:eastAsia="宋体" w:hAnsi="Calibri" w:cs="Times New Roman" w:hint="eastAsia"/>
          <w:b/>
          <w:sz w:val="28"/>
        </w:rPr>
        <w:t>级：</w:t>
      </w:r>
      <w:r>
        <w:rPr>
          <w:rFonts w:ascii="Calibri" w:eastAsia="宋体" w:hAnsi="Calibri" w:cs="Times New Roman"/>
          <w:sz w:val="28"/>
          <w:u w:val="single"/>
        </w:rPr>
        <w:t xml:space="preserve">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　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2014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级　　</w:t>
      </w:r>
      <w:r>
        <w:rPr>
          <w:rFonts w:ascii="Calibri" w:eastAsia="宋体" w:hAnsi="Calibri" w:cs="Times New Roman" w:hint="eastAsia"/>
          <w:sz w:val="28"/>
          <w:u w:val="single"/>
        </w:rPr>
        <w:t xml:space="preserve">_ </w:t>
      </w:r>
    </w:p>
    <w:p w:rsidR="000867C9" w:rsidRDefault="00682DEE">
      <w:pPr>
        <w:spacing w:line="360" w:lineRule="auto"/>
        <w:ind w:firstLineChars="800" w:firstLine="2249"/>
        <w:rPr>
          <w:rFonts w:ascii="Calibri" w:eastAsia="宋体" w:hAnsi="Calibri" w:cs="Times New Roman"/>
          <w:sz w:val="28"/>
        </w:rPr>
      </w:pPr>
      <w:r>
        <w:rPr>
          <w:rFonts w:ascii="Calibri" w:eastAsia="宋体" w:hAnsi="Calibri" w:cs="Times New Roman" w:hint="eastAsia"/>
          <w:b/>
          <w:sz w:val="28"/>
        </w:rPr>
        <w:t>专</w:t>
      </w:r>
      <w:r>
        <w:rPr>
          <w:rFonts w:ascii="Calibri" w:eastAsia="宋体" w:hAnsi="Calibri" w:cs="Times New Roman"/>
          <w:b/>
          <w:sz w:val="28"/>
        </w:rPr>
        <w:t xml:space="preserve">    </w:t>
      </w:r>
      <w:r>
        <w:rPr>
          <w:rFonts w:ascii="Calibri" w:eastAsia="宋体" w:hAnsi="Calibri" w:cs="Times New Roman" w:hint="eastAsia"/>
          <w:b/>
          <w:sz w:val="28"/>
        </w:rPr>
        <w:t>业：</w:t>
      </w:r>
      <w:r>
        <w:rPr>
          <w:rFonts w:ascii="Calibri" w:eastAsia="宋体" w:hAnsi="Calibri" w:cs="Times New Roman"/>
          <w:sz w:val="28"/>
          <w:u w:val="single"/>
        </w:rPr>
        <w:t xml:space="preserve">  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哲　学　</w:t>
      </w:r>
      <w:r>
        <w:rPr>
          <w:rFonts w:ascii="Calibri" w:eastAsia="宋体" w:hAnsi="Calibri" w:cs="Times New Roman"/>
          <w:sz w:val="28"/>
          <w:u w:val="single"/>
        </w:rPr>
        <w:t xml:space="preserve">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  </w:t>
      </w:r>
    </w:p>
    <w:p w:rsidR="000867C9" w:rsidRDefault="00682DEE">
      <w:pPr>
        <w:spacing w:line="360" w:lineRule="auto"/>
        <w:ind w:firstLineChars="800" w:firstLine="2249"/>
        <w:rPr>
          <w:rFonts w:ascii="Calibri" w:eastAsia="宋体" w:hAnsi="Calibri" w:cs="Times New Roman"/>
          <w:sz w:val="28"/>
        </w:rPr>
      </w:pPr>
      <w:r>
        <w:rPr>
          <w:rFonts w:ascii="Calibri" w:eastAsia="宋体" w:hAnsi="Calibri" w:cs="Times New Roman" w:hint="eastAsia"/>
          <w:b/>
          <w:sz w:val="28"/>
        </w:rPr>
        <w:t>学</w:t>
      </w:r>
      <w:r>
        <w:rPr>
          <w:rFonts w:ascii="Calibri" w:eastAsia="宋体" w:hAnsi="Calibri" w:cs="Times New Roman"/>
          <w:b/>
          <w:sz w:val="28"/>
        </w:rPr>
        <w:t xml:space="preserve">    </w:t>
      </w:r>
      <w:r>
        <w:rPr>
          <w:rFonts w:ascii="Calibri" w:eastAsia="宋体" w:hAnsi="Calibri" w:cs="Times New Roman" w:hint="eastAsia"/>
          <w:b/>
          <w:sz w:val="28"/>
        </w:rPr>
        <w:t>院：</w:t>
      </w:r>
      <w:r>
        <w:rPr>
          <w:rFonts w:ascii="Calibri" w:eastAsia="宋体" w:hAnsi="Calibri" w:cs="Times New Roman"/>
          <w:sz w:val="28"/>
          <w:u w:val="single"/>
        </w:rPr>
        <w:t xml:space="preserve">  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哲学院　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  </w:t>
      </w:r>
      <w:r>
        <w:rPr>
          <w:rFonts w:ascii="Calibri" w:eastAsia="宋体" w:hAnsi="Calibri" w:cs="Times New Roman"/>
          <w:sz w:val="28"/>
          <w:u w:val="single"/>
        </w:rPr>
        <w:t xml:space="preserve">  </w:t>
      </w:r>
    </w:p>
    <w:p w:rsidR="000867C9" w:rsidRDefault="00682DEE">
      <w:pPr>
        <w:spacing w:line="360" w:lineRule="auto"/>
        <w:ind w:firstLineChars="800" w:firstLine="2249"/>
        <w:rPr>
          <w:rFonts w:ascii="Calibri" w:eastAsia="宋体" w:hAnsi="Calibri" w:cs="Times New Roman"/>
          <w:sz w:val="28"/>
        </w:rPr>
      </w:pPr>
      <w:r>
        <w:rPr>
          <w:rFonts w:ascii="Calibri" w:eastAsia="宋体" w:hAnsi="Calibri" w:cs="Times New Roman" w:hint="eastAsia"/>
          <w:b/>
          <w:sz w:val="28"/>
        </w:rPr>
        <w:t>指导教师：</w:t>
      </w:r>
      <w:r>
        <w:rPr>
          <w:rFonts w:ascii="Calibri" w:eastAsia="宋体" w:hAnsi="Calibri" w:cs="Times New Roman"/>
          <w:sz w:val="28"/>
          <w:u w:val="single"/>
        </w:rPr>
        <w:t xml:space="preserve">  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 </w:t>
      </w:r>
      <w:r>
        <w:rPr>
          <w:rFonts w:ascii="Calibri" w:eastAsia="宋体" w:hAnsi="Calibri" w:cs="Times New Roman"/>
          <w:sz w:val="28"/>
          <w:u w:val="single"/>
        </w:rPr>
        <w:t>吴亚楠</w:t>
      </w:r>
      <w:r>
        <w:rPr>
          <w:rFonts w:ascii="Calibri" w:eastAsia="宋体" w:hAnsi="Calibri" w:cs="Times New Roman" w:hint="eastAsia"/>
          <w:sz w:val="28"/>
          <w:u w:val="single"/>
        </w:rPr>
        <w:t xml:space="preserve">　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 </w:t>
      </w:r>
      <w:r>
        <w:rPr>
          <w:rFonts w:ascii="Calibri" w:eastAsia="宋体" w:hAnsi="Calibri" w:cs="Times New Roman"/>
          <w:sz w:val="28"/>
          <w:u w:val="single"/>
        </w:rPr>
        <w:t xml:space="preserve"> 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</w:t>
      </w:r>
      <w:r>
        <w:rPr>
          <w:rFonts w:ascii="Calibri" w:eastAsia="宋体" w:hAnsi="Calibri" w:cs="Times New Roman"/>
          <w:sz w:val="28"/>
          <w:u w:val="single"/>
        </w:rPr>
        <w:t xml:space="preserve"> </w:t>
      </w:r>
    </w:p>
    <w:p w:rsidR="000867C9" w:rsidRDefault="00682DEE">
      <w:pPr>
        <w:spacing w:line="360" w:lineRule="auto"/>
        <w:ind w:firstLineChars="800" w:firstLine="2249"/>
        <w:rPr>
          <w:rFonts w:ascii="Calibri" w:eastAsia="宋体" w:hAnsi="Calibri" w:cs="Times New Roman"/>
          <w:sz w:val="28"/>
          <w:u w:val="single"/>
        </w:rPr>
      </w:pPr>
      <w:r>
        <w:rPr>
          <w:rFonts w:ascii="Calibri" w:eastAsia="宋体" w:hAnsi="Calibri" w:cs="Times New Roman" w:hint="eastAsia"/>
          <w:b/>
          <w:sz w:val="28"/>
        </w:rPr>
        <w:t>完成日期：</w:t>
      </w:r>
      <w:r>
        <w:rPr>
          <w:rFonts w:ascii="Calibri" w:eastAsia="宋体" w:hAnsi="Calibri" w:cs="Times New Roman"/>
          <w:sz w:val="28"/>
          <w:u w:val="single"/>
        </w:rPr>
        <w:t xml:space="preserve">   </w:t>
      </w:r>
      <w:r>
        <w:rPr>
          <w:rFonts w:ascii="Calibri" w:eastAsia="宋体" w:hAnsi="Calibri" w:cs="Times New Roman" w:hint="eastAsia"/>
          <w:sz w:val="28"/>
          <w:u w:val="single"/>
        </w:rPr>
        <w:t>2017</w:t>
      </w:r>
      <w:r>
        <w:rPr>
          <w:rFonts w:ascii="Calibri" w:eastAsia="宋体" w:hAnsi="Calibri" w:cs="Times New Roman" w:hint="eastAsia"/>
          <w:sz w:val="28"/>
          <w:u w:val="single"/>
        </w:rPr>
        <w:t>年</w:t>
      </w:r>
      <w:r>
        <w:rPr>
          <w:rFonts w:ascii="Calibri" w:eastAsia="宋体" w:hAnsi="Calibri" w:cs="Times New Roman" w:hint="eastAsia"/>
          <w:sz w:val="28"/>
          <w:u w:val="single"/>
        </w:rPr>
        <w:t>4</w:t>
      </w:r>
      <w:r>
        <w:rPr>
          <w:rFonts w:ascii="Calibri" w:eastAsia="宋体" w:hAnsi="Calibri" w:cs="Times New Roman" w:hint="eastAsia"/>
          <w:sz w:val="28"/>
          <w:u w:val="single"/>
        </w:rPr>
        <w:t>月</w:t>
      </w:r>
      <w:r>
        <w:rPr>
          <w:rFonts w:ascii="Calibri" w:eastAsia="宋体" w:hAnsi="Calibri" w:cs="Times New Roman" w:hint="eastAsia"/>
          <w:sz w:val="28"/>
          <w:u w:val="single"/>
        </w:rPr>
        <w:t>20</w:t>
      </w:r>
      <w:r>
        <w:rPr>
          <w:rFonts w:ascii="Calibri" w:eastAsia="宋体" w:hAnsi="Calibri" w:cs="Times New Roman" w:hint="eastAsia"/>
          <w:sz w:val="28"/>
          <w:u w:val="single"/>
        </w:rPr>
        <w:t>日</w:t>
      </w:r>
      <w:r>
        <w:rPr>
          <w:rFonts w:ascii="Calibri" w:eastAsia="宋体" w:hAnsi="Calibri" w:cs="Times New Roman" w:hint="eastAsia"/>
          <w:sz w:val="28"/>
          <w:u w:val="single"/>
        </w:rPr>
        <w:t xml:space="preserve"> </w:t>
      </w:r>
    </w:p>
    <w:p w:rsidR="000867C9" w:rsidRDefault="000867C9">
      <w:pPr>
        <w:pStyle w:val="TOC1"/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val="zh-CN"/>
        </w:rPr>
        <w:sectPr w:rsidR="000867C9" w:rsidSect="00B43B6D">
          <w:headerReference w:type="default" r:id="rId9"/>
          <w:footerReference w:type="default" r:id="rId10"/>
          <w:footnotePr>
            <w:numFmt w:val="decimalEnclosedCircleChinese"/>
            <w:numRestart w:val="eachPage"/>
          </w:footnotePr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val="zh-CN"/>
        </w:rPr>
        <w:id w:val="-22637404"/>
      </w:sdtPr>
      <w:sdtEndPr/>
      <w:sdtContent>
        <w:p w:rsidR="000867C9" w:rsidRDefault="00682DEE">
          <w:pPr>
            <w:pStyle w:val="TOC1"/>
          </w:pPr>
          <w:r>
            <w:rPr>
              <w:lang w:val="zh-CN"/>
            </w:rPr>
            <w:t>目录</w:t>
          </w:r>
        </w:p>
        <w:p w:rsidR="000867C9" w:rsidRPr="0037530B" w:rsidRDefault="00682DEE">
          <w:pPr>
            <w:pStyle w:val="10"/>
            <w:tabs>
              <w:tab w:val="right" w:leader="dot" w:pos="8296"/>
            </w:tabs>
            <w:rPr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0307670" w:history="1">
            <w:r w:rsidRPr="0037530B">
              <w:rPr>
                <w:rStyle w:val="a7"/>
                <w:rFonts w:hint="eastAsia"/>
              </w:rPr>
              <w:t>摘要</w:t>
            </w:r>
            <w:r w:rsidRPr="0037530B">
              <w:tab/>
            </w:r>
            <w:r w:rsidRPr="0037530B">
              <w:fldChar w:fldCharType="begin"/>
            </w:r>
            <w:r w:rsidRPr="0037530B">
              <w:instrText xml:space="preserve"> PAGEREF _Toc480307670 \h </w:instrText>
            </w:r>
            <w:r w:rsidRPr="0037530B">
              <w:fldChar w:fldCharType="separate"/>
            </w:r>
            <w:r w:rsidRPr="0037530B">
              <w:t>1</w:t>
            </w:r>
            <w:r w:rsidRPr="0037530B">
              <w:fldChar w:fldCharType="end"/>
            </w:r>
          </w:hyperlink>
        </w:p>
        <w:p w:rsidR="000867C9" w:rsidRPr="0037530B" w:rsidRDefault="00D3139F">
          <w:pPr>
            <w:pStyle w:val="1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1" w:history="1">
            <w:r w:rsidR="00682DEE" w:rsidRPr="0037530B">
              <w:rPr>
                <w:rStyle w:val="a7"/>
              </w:rPr>
              <w:t>Abstract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_Toc480307671 \h </w:instrText>
            </w:r>
            <w:r w:rsidR="00682DEE" w:rsidRPr="0037530B">
              <w:fldChar w:fldCharType="separate"/>
            </w:r>
            <w:r w:rsidR="00682DEE" w:rsidRPr="0037530B">
              <w:t>1</w:t>
            </w:r>
            <w:r w:rsidR="00682DEE" w:rsidRPr="0037530B">
              <w:fldChar w:fldCharType="end"/>
            </w:r>
          </w:hyperlink>
        </w:p>
        <w:p w:rsidR="000867C9" w:rsidRPr="0037530B" w:rsidRDefault="00D3139F">
          <w:pPr>
            <w:pStyle w:val="1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2" w:history="1">
            <w:r w:rsidR="00682DEE" w:rsidRPr="0037530B">
              <w:rPr>
                <w:rStyle w:val="a7"/>
                <w:rFonts w:hint="eastAsia"/>
              </w:rPr>
              <w:t>引言</w:t>
            </w:r>
            <w:r w:rsidR="00682DEE" w:rsidRPr="0037530B">
              <w:tab/>
            </w:r>
            <w:r w:rsidR="00FF5684">
              <w:rPr>
                <w:rFonts w:hint="eastAsia"/>
              </w:rPr>
              <w:t>3</w:t>
            </w:r>
          </w:hyperlink>
        </w:p>
        <w:p w:rsidR="000867C9" w:rsidRPr="0037530B" w:rsidRDefault="00D3139F">
          <w:pPr>
            <w:pStyle w:val="1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3" w:history="1">
            <w:r w:rsidR="00682DEE" w:rsidRPr="0037530B">
              <w:rPr>
                <w:rStyle w:val="a7"/>
                <w:rFonts w:hint="eastAsia"/>
              </w:rPr>
              <w:t>一、以一体论仁</w:t>
            </w:r>
            <w:r w:rsidR="00682DEE" w:rsidRPr="0037530B">
              <w:tab/>
            </w:r>
            <w:r w:rsidR="00FF5684">
              <w:rPr>
                <w:rFonts w:hint="eastAsia"/>
              </w:rPr>
              <w:t>4</w:t>
            </w:r>
          </w:hyperlink>
        </w:p>
        <w:p w:rsidR="000867C9" w:rsidRPr="0037530B" w:rsidRDefault="00D3139F">
          <w:pPr>
            <w:pStyle w:val="2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4" w:history="1">
            <w:r w:rsidR="00682DEE" w:rsidRPr="0037530B">
              <w:rPr>
                <w:rStyle w:val="a7"/>
              </w:rPr>
              <w:t>1</w:t>
            </w:r>
            <w:r w:rsidR="00682DEE" w:rsidRPr="0037530B">
              <w:rPr>
                <w:rStyle w:val="a7"/>
                <w:rFonts w:hint="eastAsia"/>
              </w:rPr>
              <w:t>、明道言“浑然与物同体”</w:t>
            </w:r>
            <w:r w:rsidR="00682DEE" w:rsidRPr="0037530B">
              <w:tab/>
            </w:r>
            <w:r w:rsidR="00FF5684">
              <w:rPr>
                <w:rFonts w:hint="eastAsia"/>
              </w:rPr>
              <w:t>4</w:t>
            </w:r>
          </w:hyperlink>
        </w:p>
        <w:p w:rsidR="000867C9" w:rsidRPr="0037530B" w:rsidRDefault="00D3139F">
          <w:pPr>
            <w:pStyle w:val="2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5" w:history="1">
            <w:r w:rsidR="00682DEE" w:rsidRPr="0037530B">
              <w:rPr>
                <w:rStyle w:val="a7"/>
              </w:rPr>
              <w:t>2</w:t>
            </w:r>
            <w:r w:rsidR="00682DEE" w:rsidRPr="0037530B">
              <w:rPr>
                <w:rStyle w:val="a7"/>
                <w:rFonts w:hint="eastAsia"/>
              </w:rPr>
              <w:t>、与张载的对照：“民胞物与”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_Toc480307675 \h </w:instrText>
            </w:r>
            <w:r w:rsidR="00682DEE" w:rsidRPr="0037530B">
              <w:fldChar w:fldCharType="separate"/>
            </w:r>
            <w:r w:rsidR="00682DEE" w:rsidRPr="0037530B">
              <w:t>6</w:t>
            </w:r>
            <w:r w:rsidR="00682DEE" w:rsidRPr="0037530B">
              <w:fldChar w:fldCharType="end"/>
            </w:r>
          </w:hyperlink>
        </w:p>
        <w:p w:rsidR="000867C9" w:rsidRPr="0037530B" w:rsidRDefault="00D3139F">
          <w:pPr>
            <w:pStyle w:val="2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6" w:history="1">
            <w:r w:rsidR="00682DEE" w:rsidRPr="0037530B">
              <w:rPr>
                <w:rStyle w:val="a7"/>
              </w:rPr>
              <w:t>3</w:t>
            </w:r>
            <w:r w:rsidR="00682DEE" w:rsidRPr="0037530B">
              <w:rPr>
                <w:rStyle w:val="a7"/>
                <w:rFonts w:hint="eastAsia"/>
              </w:rPr>
              <w:t>、阳明的发展：“以天地万物为一体”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_Toc480307676 \h </w:instrText>
            </w:r>
            <w:r w:rsidR="00682DEE" w:rsidRPr="0037530B">
              <w:fldChar w:fldCharType="separate"/>
            </w:r>
            <w:r w:rsidR="00682DEE" w:rsidRPr="0037530B">
              <w:t>7</w:t>
            </w:r>
            <w:r w:rsidR="00682DEE" w:rsidRPr="0037530B">
              <w:fldChar w:fldCharType="end"/>
            </w:r>
          </w:hyperlink>
        </w:p>
        <w:p w:rsidR="000867C9" w:rsidRPr="0037530B" w:rsidRDefault="00D3139F">
          <w:pPr>
            <w:pStyle w:val="1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7" w:history="1">
            <w:r w:rsidR="00682DEE" w:rsidRPr="0037530B">
              <w:rPr>
                <w:rStyle w:val="a7"/>
                <w:rFonts w:hint="eastAsia"/>
              </w:rPr>
              <w:t>二、以知觉论仁</w:t>
            </w:r>
            <w:r w:rsidR="00682DEE" w:rsidRPr="0037530B">
              <w:tab/>
            </w:r>
            <w:r w:rsidR="00FF5684">
              <w:rPr>
                <w:rFonts w:hint="eastAsia"/>
              </w:rPr>
              <w:t>9</w:t>
            </w:r>
          </w:hyperlink>
        </w:p>
        <w:p w:rsidR="000867C9" w:rsidRPr="0037530B" w:rsidRDefault="00D3139F">
          <w:pPr>
            <w:pStyle w:val="2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8" w:history="1">
            <w:r w:rsidR="00682DEE" w:rsidRPr="0037530B">
              <w:rPr>
                <w:rStyle w:val="a7"/>
              </w:rPr>
              <w:t>1</w:t>
            </w:r>
            <w:r w:rsidR="00682DEE" w:rsidRPr="0037530B">
              <w:rPr>
                <w:rStyle w:val="a7"/>
                <w:rFonts w:hint="eastAsia"/>
              </w:rPr>
              <w:t>、明道以知痛痒论仁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_Toc480307678 \h </w:instrText>
            </w:r>
            <w:r w:rsidR="00682DEE" w:rsidRPr="0037530B">
              <w:fldChar w:fldCharType="separate"/>
            </w:r>
            <w:r w:rsidR="00682DEE" w:rsidRPr="0037530B">
              <w:t>9</w:t>
            </w:r>
            <w:r w:rsidR="00682DEE" w:rsidRPr="0037530B">
              <w:fldChar w:fldCharType="end"/>
            </w:r>
          </w:hyperlink>
        </w:p>
        <w:p w:rsidR="000867C9" w:rsidRPr="0037530B" w:rsidRDefault="00D3139F">
          <w:pPr>
            <w:pStyle w:val="2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79" w:history="1">
            <w:r w:rsidR="00682DEE" w:rsidRPr="0037530B">
              <w:rPr>
                <w:rStyle w:val="a7"/>
              </w:rPr>
              <w:t>2</w:t>
            </w:r>
            <w:r w:rsidR="00682DEE" w:rsidRPr="0037530B">
              <w:rPr>
                <w:rStyle w:val="a7"/>
                <w:rFonts w:hint="eastAsia"/>
              </w:rPr>
              <w:t>、上蔡的继承：“仁是识痛痒”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_Toc480307679 \h </w:instrText>
            </w:r>
            <w:r w:rsidR="00682DEE" w:rsidRPr="0037530B">
              <w:fldChar w:fldCharType="separate"/>
            </w:r>
            <w:r w:rsidR="00682DEE" w:rsidRPr="0037530B">
              <w:t>1</w:t>
            </w:r>
            <w:r w:rsidR="00FF5684">
              <w:rPr>
                <w:rFonts w:hint="eastAsia"/>
              </w:rPr>
              <w:t>1</w:t>
            </w:r>
            <w:r w:rsidR="00682DEE" w:rsidRPr="0037530B">
              <w:fldChar w:fldCharType="end"/>
            </w:r>
          </w:hyperlink>
        </w:p>
        <w:p w:rsidR="000867C9" w:rsidRPr="0037530B" w:rsidRDefault="00D3139F">
          <w:pPr>
            <w:pStyle w:val="2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80" w:history="1">
            <w:r w:rsidR="00682DEE" w:rsidRPr="0037530B">
              <w:rPr>
                <w:rStyle w:val="a7"/>
              </w:rPr>
              <w:t>3</w:t>
            </w:r>
            <w:r w:rsidR="00682DEE" w:rsidRPr="0037530B">
              <w:rPr>
                <w:rStyle w:val="a7"/>
                <w:rFonts w:hint="eastAsia"/>
              </w:rPr>
              <w:t>、朱子的反思：反对以知觉论仁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_Toc480307680 \h </w:instrText>
            </w:r>
            <w:r w:rsidR="00682DEE" w:rsidRPr="0037530B">
              <w:fldChar w:fldCharType="separate"/>
            </w:r>
            <w:r w:rsidR="00682DEE" w:rsidRPr="0037530B">
              <w:t>1</w:t>
            </w:r>
            <w:r w:rsidR="00FF5684">
              <w:rPr>
                <w:rFonts w:hint="eastAsia"/>
              </w:rPr>
              <w:t>2</w:t>
            </w:r>
            <w:r w:rsidR="00682DEE" w:rsidRPr="0037530B">
              <w:fldChar w:fldCharType="end"/>
            </w:r>
          </w:hyperlink>
        </w:p>
        <w:p w:rsidR="000867C9" w:rsidRPr="0037530B" w:rsidRDefault="00D3139F">
          <w:pPr>
            <w:pStyle w:val="1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81" w:history="1">
            <w:r w:rsidR="00682DEE" w:rsidRPr="0037530B">
              <w:rPr>
                <w:rStyle w:val="a7"/>
                <w:rFonts w:hint="eastAsia"/>
              </w:rPr>
              <w:t>三、以生意论仁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_Toc480307681 \h </w:instrText>
            </w:r>
            <w:r w:rsidR="00682DEE" w:rsidRPr="0037530B">
              <w:fldChar w:fldCharType="separate"/>
            </w:r>
            <w:r w:rsidR="00682DEE" w:rsidRPr="0037530B">
              <w:t>1</w:t>
            </w:r>
            <w:r w:rsidR="00FF5684">
              <w:rPr>
                <w:rFonts w:hint="eastAsia"/>
              </w:rPr>
              <w:t>3</w:t>
            </w:r>
            <w:r w:rsidR="00682DEE" w:rsidRPr="0037530B">
              <w:fldChar w:fldCharType="end"/>
            </w:r>
          </w:hyperlink>
        </w:p>
        <w:p w:rsidR="000867C9" w:rsidRPr="0037530B" w:rsidRDefault="00D3139F">
          <w:pPr>
            <w:pStyle w:val="2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82" w:history="1">
            <w:r w:rsidR="00682DEE" w:rsidRPr="0037530B">
              <w:rPr>
                <w:rStyle w:val="a7"/>
              </w:rPr>
              <w:t>1</w:t>
            </w:r>
            <w:r w:rsidR="00682DEE" w:rsidRPr="0037530B">
              <w:rPr>
                <w:rStyle w:val="a7"/>
                <w:rFonts w:hint="eastAsia"/>
              </w:rPr>
              <w:t>、明道谈生生不息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_Toc480307682 \h </w:instrText>
            </w:r>
            <w:r w:rsidR="00682DEE" w:rsidRPr="0037530B">
              <w:fldChar w:fldCharType="separate"/>
            </w:r>
            <w:r w:rsidR="00682DEE" w:rsidRPr="0037530B">
              <w:t>13</w:t>
            </w:r>
            <w:r w:rsidR="00682DEE" w:rsidRPr="0037530B">
              <w:fldChar w:fldCharType="end"/>
            </w:r>
          </w:hyperlink>
        </w:p>
        <w:p w:rsidR="000867C9" w:rsidRDefault="00D3139F">
          <w:pPr>
            <w:pStyle w:val="2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83" w:history="1">
            <w:r w:rsidR="00682DEE" w:rsidRPr="0037530B">
              <w:rPr>
                <w:rStyle w:val="a7"/>
              </w:rPr>
              <w:t>2</w:t>
            </w:r>
            <w:r w:rsidR="00682DEE" w:rsidRPr="0037530B">
              <w:rPr>
                <w:rStyle w:val="a7"/>
                <w:rFonts w:hint="eastAsia"/>
              </w:rPr>
              <w:t>、对朱子的影响：“天地以生物为心”</w:t>
            </w:r>
            <w:r w:rsidR="00682DEE" w:rsidRPr="0037530B">
              <w:tab/>
            </w:r>
            <w:r w:rsidR="00682DEE" w:rsidRPr="0037530B">
              <w:fldChar w:fldCharType="begin"/>
            </w:r>
            <w:r w:rsidR="00682DEE" w:rsidRPr="0037530B">
              <w:instrText xml:space="preserve"> PAGEREF _Toc480307683 \h </w:instrText>
            </w:r>
            <w:r w:rsidR="00682DEE" w:rsidRPr="0037530B">
              <w:fldChar w:fldCharType="separate"/>
            </w:r>
            <w:r w:rsidR="00682DEE" w:rsidRPr="0037530B">
              <w:t>15</w:t>
            </w:r>
            <w:r w:rsidR="00682DEE" w:rsidRPr="0037530B">
              <w:fldChar w:fldCharType="end"/>
            </w:r>
          </w:hyperlink>
        </w:p>
        <w:p w:rsidR="000867C9" w:rsidRDefault="00D3139F">
          <w:pPr>
            <w:pStyle w:val="1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84" w:history="1">
            <w:r w:rsidR="00682DEE">
              <w:rPr>
                <w:rStyle w:val="a7"/>
                <w:rFonts w:hint="eastAsia"/>
              </w:rPr>
              <w:t>结语</w:t>
            </w:r>
            <w:r w:rsidR="00682DEE">
              <w:tab/>
            </w:r>
            <w:r w:rsidR="00682DEE">
              <w:fldChar w:fldCharType="begin"/>
            </w:r>
            <w:r w:rsidR="00682DEE">
              <w:instrText xml:space="preserve"> PAGEREF _Toc480307684 \h </w:instrText>
            </w:r>
            <w:r w:rsidR="00682DEE">
              <w:fldChar w:fldCharType="separate"/>
            </w:r>
            <w:r w:rsidR="00682DEE">
              <w:t>1</w:t>
            </w:r>
            <w:r w:rsidR="00FF5684">
              <w:rPr>
                <w:rFonts w:hint="eastAsia"/>
              </w:rPr>
              <w:t>7</w:t>
            </w:r>
            <w:r w:rsidR="00682DEE">
              <w:fldChar w:fldCharType="end"/>
            </w:r>
          </w:hyperlink>
        </w:p>
        <w:p w:rsidR="000867C9" w:rsidRDefault="00D3139F">
          <w:pPr>
            <w:pStyle w:val="10"/>
            <w:tabs>
              <w:tab w:val="right" w:leader="dot" w:pos="8296"/>
            </w:tabs>
            <w:rPr>
              <w:kern w:val="2"/>
              <w:sz w:val="21"/>
            </w:rPr>
          </w:pPr>
          <w:hyperlink w:anchor="_Toc480307685" w:history="1">
            <w:r w:rsidR="00682DEE">
              <w:rPr>
                <w:rStyle w:val="a7"/>
                <w:rFonts w:hint="eastAsia"/>
              </w:rPr>
              <w:t>参考文献</w:t>
            </w:r>
            <w:r w:rsidR="00682DEE">
              <w:tab/>
            </w:r>
            <w:r w:rsidR="00682DEE">
              <w:fldChar w:fldCharType="begin"/>
            </w:r>
            <w:r w:rsidR="00682DEE">
              <w:instrText xml:space="preserve"> PAGEREF _Toc480307685 \h </w:instrText>
            </w:r>
            <w:r w:rsidR="00682DEE">
              <w:fldChar w:fldCharType="separate"/>
            </w:r>
            <w:r w:rsidR="00682DEE">
              <w:t>1</w:t>
            </w:r>
            <w:r w:rsidR="00FF5684">
              <w:rPr>
                <w:rFonts w:hint="eastAsia"/>
              </w:rPr>
              <w:t>8</w:t>
            </w:r>
            <w:r w:rsidR="00682DEE">
              <w:fldChar w:fldCharType="end"/>
            </w:r>
          </w:hyperlink>
        </w:p>
        <w:p w:rsidR="000867C9" w:rsidRDefault="00682DEE">
          <w:r>
            <w:rPr>
              <w:b/>
              <w:bCs/>
              <w:lang w:val="zh-CN"/>
            </w:rPr>
            <w:fldChar w:fldCharType="end"/>
          </w:r>
        </w:p>
      </w:sdtContent>
    </w:sdt>
    <w:p w:rsidR="000867C9" w:rsidRDefault="000867C9">
      <w:pPr>
        <w:spacing w:line="360" w:lineRule="auto"/>
        <w:jc w:val="center"/>
        <w:rPr>
          <w:rFonts w:asciiTheme="majorEastAsia" w:eastAsiaTheme="majorEastAsia" w:hAnsiTheme="majorEastAsia"/>
          <w:sz w:val="32"/>
          <w:szCs w:val="32"/>
        </w:rPr>
        <w:sectPr w:rsidR="000867C9">
          <w:headerReference w:type="default" r:id="rId11"/>
          <w:footnotePr>
            <w:numFmt w:val="decimalEnclosedCircleChinese"/>
            <w:numRestart w:val="eachPage"/>
          </w:footnote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0867C9" w:rsidRPr="004608CA" w:rsidRDefault="008F076C">
      <w:pPr>
        <w:spacing w:line="360" w:lineRule="auto"/>
        <w:jc w:val="center"/>
        <w:rPr>
          <w:rFonts w:asciiTheme="majorEastAsia" w:eastAsiaTheme="majorEastAsia" w:hAnsiTheme="majorEastAsia"/>
          <w:b/>
          <w:color w:val="0000FF"/>
          <w:sz w:val="30"/>
          <w:szCs w:val="30"/>
          <w:highlight w:val="yellow"/>
        </w:rPr>
      </w:pPr>
      <w:r w:rsidRPr="004608CA">
        <w:rPr>
          <w:rFonts w:asciiTheme="majorEastAsia" w:eastAsiaTheme="majorEastAsia" w:hAnsiTheme="majorEastAsia"/>
          <w:b/>
          <w:sz w:val="30"/>
          <w:szCs w:val="30"/>
        </w:rPr>
        <w:t>仁者知觉</w:t>
      </w:r>
      <w:r w:rsidRPr="004608CA">
        <w:rPr>
          <w:rFonts w:asciiTheme="majorEastAsia" w:eastAsiaTheme="majorEastAsia" w:hAnsiTheme="majorEastAsia" w:hint="eastAsia"/>
          <w:b/>
          <w:sz w:val="30"/>
          <w:szCs w:val="30"/>
        </w:rPr>
        <w:t xml:space="preserve"> 与物同体</w:t>
      </w:r>
    </w:p>
    <w:p w:rsidR="000867C9" w:rsidRPr="004608CA" w:rsidRDefault="00682DEE">
      <w:pPr>
        <w:spacing w:line="360" w:lineRule="auto"/>
        <w:jc w:val="center"/>
        <w:rPr>
          <w:rFonts w:asciiTheme="majorEastAsia" w:eastAsiaTheme="majorEastAsia" w:hAnsiTheme="majorEastAsia"/>
          <w:b/>
          <w:sz w:val="30"/>
          <w:szCs w:val="30"/>
        </w:rPr>
      </w:pPr>
      <w:r w:rsidRPr="004608CA">
        <w:rPr>
          <w:rFonts w:asciiTheme="majorEastAsia" w:eastAsiaTheme="majorEastAsia" w:hAnsiTheme="majorEastAsia" w:hint="eastAsia"/>
          <w:b/>
          <w:sz w:val="30"/>
          <w:szCs w:val="30"/>
        </w:rPr>
        <w:t>——</w:t>
      </w:r>
      <w:r w:rsidR="008F076C" w:rsidRPr="004608CA">
        <w:rPr>
          <w:rFonts w:asciiTheme="majorEastAsia" w:eastAsiaTheme="majorEastAsia" w:hAnsiTheme="majorEastAsia" w:hint="eastAsia"/>
          <w:b/>
          <w:sz w:val="30"/>
          <w:szCs w:val="30"/>
        </w:rPr>
        <w:t>程颢仁学思想的创立与开展</w:t>
      </w:r>
    </w:p>
    <w:p w:rsidR="000867C9" w:rsidRDefault="000867C9">
      <w:pPr>
        <w:spacing w:line="360" w:lineRule="auto"/>
        <w:ind w:firstLineChars="200" w:firstLine="420"/>
        <w:jc w:val="right"/>
        <w:rPr>
          <w:rFonts w:asciiTheme="majorEastAsia" w:eastAsiaTheme="majorEastAsia" w:hAnsiTheme="majorEastAsia"/>
          <w:szCs w:val="21"/>
        </w:rPr>
      </w:pPr>
    </w:p>
    <w:p w:rsidR="000867C9" w:rsidRDefault="000867C9">
      <w:pPr>
        <w:spacing w:line="360" w:lineRule="auto"/>
        <w:rPr>
          <w:rFonts w:asciiTheme="majorEastAsia" w:eastAsiaTheme="majorEastAsia" w:hAnsiTheme="majorEastAsia" w:hint="eastAsia"/>
          <w:sz w:val="24"/>
          <w:szCs w:val="24"/>
        </w:rPr>
      </w:pPr>
    </w:p>
    <w:p w:rsidR="00F758A2" w:rsidRPr="00F758A2" w:rsidRDefault="00F758A2">
      <w:pPr>
        <w:spacing w:line="360" w:lineRule="auto"/>
        <w:rPr>
          <w:rFonts w:ascii="仿宋" w:eastAsia="仿宋" w:hAnsi="仿宋"/>
          <w:szCs w:val="21"/>
        </w:rPr>
      </w:pPr>
      <w:bookmarkStart w:id="0" w:name="_GoBack"/>
      <w:bookmarkEnd w:id="0"/>
    </w:p>
    <w:p w:rsidR="000867C9" w:rsidRDefault="000867C9">
      <w:pPr>
        <w:spacing w:line="360" w:lineRule="auto"/>
        <w:rPr>
          <w:rFonts w:ascii="仿宋" w:eastAsia="仿宋" w:hAnsi="仿宋"/>
          <w:szCs w:val="21"/>
        </w:rPr>
      </w:pPr>
    </w:p>
    <w:p w:rsidR="000867C9" w:rsidRDefault="000867C9">
      <w:pPr>
        <w:spacing w:line="360" w:lineRule="auto"/>
        <w:rPr>
          <w:rFonts w:ascii="仿宋" w:eastAsia="仿宋" w:hAnsi="仿宋"/>
          <w:szCs w:val="21"/>
        </w:rPr>
      </w:pPr>
    </w:p>
    <w:p w:rsidR="000867C9" w:rsidRDefault="00682DEE">
      <w:pPr>
        <w:spacing w:line="360" w:lineRule="auto"/>
        <w:rPr>
          <w:rFonts w:ascii="宋体" w:eastAsia="宋体" w:hAnsi="宋体"/>
          <w:szCs w:val="21"/>
        </w:rPr>
      </w:pPr>
      <w:bookmarkStart w:id="1" w:name="_Toc480307670"/>
      <w:r>
        <w:rPr>
          <w:rFonts w:ascii="黑体" w:eastAsia="黑体" w:hAnsi="黑体" w:hint="eastAsia"/>
          <w:b/>
        </w:rPr>
        <w:t>摘要</w:t>
      </w:r>
      <w:bookmarkEnd w:id="1"/>
      <w:r>
        <w:rPr>
          <w:rFonts w:ascii="黑体" w:eastAsia="黑体" w:hAnsi="黑体" w:hint="eastAsia"/>
          <w:b/>
        </w:rPr>
        <w:t>：</w:t>
      </w:r>
      <w:r>
        <w:rPr>
          <w:rFonts w:ascii="宋体" w:eastAsia="宋体" w:hAnsi="宋体" w:hint="eastAsia"/>
          <w:szCs w:val="21"/>
        </w:rPr>
        <w:t>仁是孔孟学说的核心概念，孔子构建了以“仁”为核心的仁学思想体系，以后的汉唐儒学家都对仁这个命题进行了自己的发挥。及至宋代程颢，对仁学进行了更进一步的探讨。本文主要参照陈来先生的研究，在将</w:t>
      </w:r>
      <w:r w:rsidR="0037530B" w:rsidRPr="00FF5684">
        <w:rPr>
          <w:rFonts w:ascii="宋体" w:eastAsia="宋体" w:hAnsi="宋体" w:hint="eastAsia"/>
          <w:szCs w:val="21"/>
        </w:rPr>
        <w:t>程颢</w:t>
      </w:r>
      <w:r>
        <w:rPr>
          <w:rFonts w:ascii="宋体" w:eastAsia="宋体" w:hAnsi="宋体" w:hint="eastAsia"/>
          <w:szCs w:val="21"/>
        </w:rPr>
        <w:t>仁学概括为以一体论仁、以知觉论仁、以生意论仁</w:t>
      </w:r>
      <w:r w:rsidR="008F076C" w:rsidRPr="008F076C">
        <w:rPr>
          <w:rFonts w:ascii="宋体" w:eastAsia="宋体" w:hAnsi="宋体" w:hint="eastAsia"/>
          <w:szCs w:val="21"/>
        </w:rPr>
        <w:t>三</w:t>
      </w:r>
      <w:r>
        <w:rPr>
          <w:rFonts w:ascii="宋体" w:eastAsia="宋体" w:hAnsi="宋体" w:hint="eastAsia"/>
          <w:szCs w:val="21"/>
        </w:rPr>
        <w:t>个方面的基础上，分别对其具体含义展开全面论述。</w:t>
      </w:r>
      <w:r w:rsidRPr="008F076C">
        <w:rPr>
          <w:rFonts w:ascii="宋体" w:eastAsia="宋体" w:hAnsi="宋体" w:hint="eastAsia"/>
          <w:szCs w:val="21"/>
        </w:rPr>
        <w:t>在一体论仁方面程颢提出“</w:t>
      </w:r>
      <w:r w:rsidRPr="0037530B">
        <w:rPr>
          <w:rFonts w:ascii="宋体" w:eastAsia="宋体" w:hAnsi="宋体" w:hint="eastAsia"/>
          <w:szCs w:val="21"/>
        </w:rPr>
        <w:t>仁者浑然与物同体</w:t>
      </w:r>
      <w:r w:rsidRPr="008F076C">
        <w:rPr>
          <w:rFonts w:ascii="宋体" w:eastAsia="宋体" w:hAnsi="宋体" w:hint="eastAsia"/>
          <w:szCs w:val="21"/>
        </w:rPr>
        <w:t>”的思想，这也对阳明以天地万物为一体的论述产生了一定的影响。</w:t>
      </w:r>
      <w:r>
        <w:rPr>
          <w:rFonts w:ascii="宋体" w:eastAsia="宋体" w:hAnsi="宋体" w:hint="eastAsia"/>
          <w:szCs w:val="21"/>
        </w:rPr>
        <w:t>在以知觉论仁方面，</w:t>
      </w:r>
      <w:r w:rsidRPr="00FF5684">
        <w:rPr>
          <w:rFonts w:ascii="宋体" w:eastAsia="宋体" w:hAnsi="宋体" w:hint="eastAsia"/>
          <w:szCs w:val="21"/>
        </w:rPr>
        <w:t>明道以知痛痒论仁，以医书中比喻痛感的概念来比喻仁</w:t>
      </w:r>
      <w:r>
        <w:rPr>
          <w:rFonts w:ascii="宋体" w:eastAsia="宋体" w:hAnsi="宋体" w:hint="eastAsia"/>
          <w:szCs w:val="21"/>
        </w:rPr>
        <w:t>。仁者将天地万物都看作是与自己息息相关的东西，如此自己的境界便无所不至，无有不通。这不仅引发了上蔡对此的讨论，也对后来的理学家</w:t>
      </w:r>
      <w:r w:rsidRPr="008F076C">
        <w:rPr>
          <w:rFonts w:ascii="宋体" w:eastAsia="宋体" w:hAnsi="宋体" w:hint="eastAsia"/>
          <w:szCs w:val="21"/>
        </w:rPr>
        <w:t>多有启发</w:t>
      </w:r>
      <w:r>
        <w:rPr>
          <w:rFonts w:ascii="宋体" w:eastAsia="宋体" w:hAnsi="宋体" w:hint="eastAsia"/>
          <w:szCs w:val="21"/>
        </w:rPr>
        <w:t>。明道还以生意论仁，在此方面建立了生生仁意的宇宙观念。</w:t>
      </w:r>
      <w:r w:rsidRPr="008F076C">
        <w:rPr>
          <w:rFonts w:ascii="宋体" w:eastAsia="宋体" w:hAnsi="宋体" w:hint="eastAsia"/>
          <w:szCs w:val="21"/>
        </w:rPr>
        <w:t>程颢关注自然界欣欣向荣的生命之力，由此也引发了朱子天地以生物为心的阐述。</w:t>
      </w:r>
    </w:p>
    <w:p w:rsidR="000867C9" w:rsidRDefault="000867C9">
      <w:pPr>
        <w:spacing w:line="360" w:lineRule="auto"/>
        <w:rPr>
          <w:rFonts w:ascii="黑体" w:eastAsia="黑体" w:hAnsi="黑体"/>
          <w:szCs w:val="21"/>
        </w:rPr>
      </w:pPr>
    </w:p>
    <w:p w:rsidR="000867C9" w:rsidRDefault="00682DEE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黑体" w:eastAsia="黑体" w:hAnsi="黑体" w:hint="eastAsia"/>
          <w:b/>
          <w:szCs w:val="21"/>
        </w:rPr>
        <w:t>关键词：</w:t>
      </w:r>
      <w:r>
        <w:rPr>
          <w:rFonts w:ascii="宋体" w:eastAsia="宋体" w:hAnsi="宋体" w:hint="eastAsia"/>
          <w:szCs w:val="21"/>
        </w:rPr>
        <w:t>仁；一体；知觉；生意</w:t>
      </w:r>
    </w:p>
    <w:p w:rsidR="000867C9" w:rsidRDefault="000867C9">
      <w:pPr>
        <w:spacing w:line="360" w:lineRule="auto"/>
        <w:rPr>
          <w:rFonts w:ascii="仿宋" w:eastAsia="仿宋" w:hAnsi="仿宋"/>
          <w:szCs w:val="21"/>
        </w:rPr>
      </w:pPr>
    </w:p>
    <w:p w:rsidR="005A06FE" w:rsidRPr="00FF5684" w:rsidRDefault="00682DEE" w:rsidP="005A06FE">
      <w:pPr>
        <w:spacing w:line="360" w:lineRule="auto"/>
        <w:jc w:val="left"/>
        <w:rPr>
          <w:rFonts w:ascii="Times New Roman" w:eastAsia="仿宋" w:hAnsi="Times New Roman" w:cs="Times New Roman"/>
          <w:szCs w:val="21"/>
        </w:rPr>
      </w:pPr>
      <w:bookmarkStart w:id="2" w:name="_Toc480307671"/>
      <w:r>
        <w:rPr>
          <w:rStyle w:val="1Char"/>
          <w:rFonts w:ascii="Times New Roman" w:hAnsi="Times New Roman" w:cs="Times New Roman"/>
          <w:sz w:val="21"/>
          <w:szCs w:val="21"/>
        </w:rPr>
        <w:t>A</w:t>
      </w:r>
      <w:r w:rsidRPr="00FF5684">
        <w:rPr>
          <w:rStyle w:val="1Char"/>
          <w:rFonts w:ascii="Times New Roman" w:hAnsi="Times New Roman" w:cs="Times New Roman"/>
          <w:sz w:val="21"/>
          <w:szCs w:val="21"/>
        </w:rPr>
        <w:t>bstract</w:t>
      </w:r>
      <w:bookmarkEnd w:id="2"/>
      <w:r w:rsidRPr="00FF5684">
        <w:rPr>
          <w:rFonts w:ascii="Times New Roman" w:eastAsia="仿宋" w:hAnsi="Times New Roman" w:cs="Times New Roman"/>
          <w:b/>
          <w:szCs w:val="21"/>
        </w:rPr>
        <w:t xml:space="preserve">: </w:t>
      </w:r>
      <w:r w:rsidR="005A06FE" w:rsidRPr="00FF5684">
        <w:rPr>
          <w:rFonts w:ascii="Times New Roman" w:eastAsia="仿宋" w:hAnsi="Times New Roman" w:cs="Times New Roman"/>
          <w:szCs w:val="21"/>
        </w:rPr>
        <w:t xml:space="preserve">"Benevolence" is the core concept of Confucius and Mencius theory.Confucius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established</w:t>
      </w:r>
      <w:r w:rsidR="005A06FE" w:rsidRPr="00FF5684">
        <w:rPr>
          <w:rFonts w:ascii="Times New Roman" w:eastAsia="仿宋" w:hAnsi="Times New Roman" w:cs="Times New Roman"/>
          <w:szCs w:val="21"/>
        </w:rPr>
        <w:t xml:space="preserve"> the benevolence ideological system,which takes "benevolence" as the core,and subsequent </w:t>
      </w:r>
      <w:r w:rsidR="005A06FE" w:rsidRPr="00BD4318">
        <w:rPr>
          <w:rFonts w:ascii="Times New Roman" w:eastAsia="仿宋" w:hAnsi="Times New Roman" w:cs="Times New Roman"/>
          <w:szCs w:val="21"/>
        </w:rPr>
        <w:t>Confucian scholars</w:t>
      </w:r>
      <w:r w:rsidR="005A06FE" w:rsidRPr="00FF5684">
        <w:rPr>
          <w:rFonts w:ascii="Times New Roman" w:eastAsia="仿宋" w:hAnsi="Times New Roman" w:cs="Times New Roman"/>
          <w:szCs w:val="21"/>
        </w:rPr>
        <w:t xml:space="preserve"> of the Han and Tang Dynasties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e</w:t>
      </w:r>
      <w:r w:rsidR="0037530B" w:rsidRPr="00FF5684">
        <w:rPr>
          <w:rFonts w:ascii="Times New Roman" w:eastAsia="仿宋" w:hAnsi="Times New Roman" w:cs="Times New Roman"/>
          <w:szCs w:val="21"/>
        </w:rPr>
        <w:t>xpressed their own views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.</w:t>
      </w:r>
      <w:r w:rsidR="0037530B" w:rsidRPr="00FF5684">
        <w:rPr>
          <w:rFonts w:ascii="Times New Roman" w:eastAsia="仿宋" w:hAnsi="Times New Roman" w:cs="Times New Roman"/>
          <w:szCs w:val="21"/>
        </w:rPr>
        <w:t xml:space="preserve"> </w:t>
      </w:r>
      <w:r w:rsidR="005A06FE" w:rsidRPr="00FF5684">
        <w:rPr>
          <w:rFonts w:ascii="Times New Roman" w:eastAsia="仿宋" w:hAnsi="Times New Roman" w:cs="Times New Roman"/>
          <w:szCs w:val="21"/>
        </w:rPr>
        <w:t xml:space="preserve">Up to the Song Dynasty,Cheng Hao made a further discussion about benevolence. </w:t>
      </w:r>
    </w:p>
    <w:p w:rsidR="0037530B" w:rsidRPr="00FF5684" w:rsidRDefault="005A06FE" w:rsidP="005A06FE">
      <w:pPr>
        <w:spacing w:line="360" w:lineRule="auto"/>
        <w:ind w:firstLineChars="200" w:firstLine="420"/>
        <w:jc w:val="left"/>
        <w:rPr>
          <w:rFonts w:ascii="Times New Roman" w:eastAsia="仿宋" w:hAnsi="Times New Roman" w:cs="Times New Roman"/>
          <w:szCs w:val="21"/>
        </w:rPr>
      </w:pPr>
      <w:r w:rsidRPr="00FF5684">
        <w:rPr>
          <w:rFonts w:ascii="Times New Roman" w:eastAsia="仿宋" w:hAnsi="Times New Roman" w:cs="Times New Roman"/>
          <w:szCs w:val="21"/>
        </w:rPr>
        <w:t xml:space="preserve">This paper mainly refers to the research of Chen Lai.On the basis of summarizing the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Cheng Hao</w:t>
      </w:r>
      <w:r w:rsidRPr="00FF5684">
        <w:rPr>
          <w:rFonts w:ascii="Times New Roman" w:eastAsia="仿宋" w:hAnsi="Times New Roman" w:cs="Times New Roman"/>
          <w:szCs w:val="21"/>
        </w:rPr>
        <w:t xml:space="preserve"> benevolence into three aspects</w:t>
      </w:r>
      <w:r w:rsidR="00BD4318">
        <w:rPr>
          <w:rFonts w:ascii="Times New Roman" w:eastAsia="仿宋" w:hAnsi="Times New Roman" w:cs="Times New Roman" w:hint="eastAsia"/>
          <w:szCs w:val="21"/>
        </w:rPr>
        <w:t>:</w:t>
      </w:r>
      <w:r w:rsidR="00BD4318">
        <w:rPr>
          <w:rFonts w:ascii="Times New Roman" w:eastAsia="仿宋" w:hAnsi="Times New Roman" w:cs="Times New Roman"/>
          <w:szCs w:val="21"/>
        </w:rPr>
        <w:t>f</w:t>
      </w:r>
      <w:r w:rsidR="00BD4318" w:rsidRPr="00BD4318">
        <w:rPr>
          <w:rFonts w:ascii="Times New Roman" w:eastAsia="仿宋" w:hAnsi="Times New Roman" w:cs="Times New Roman"/>
          <w:szCs w:val="21"/>
        </w:rPr>
        <w:t xml:space="preserve">orming </w:t>
      </w:r>
      <w:r w:rsidR="00BD4318">
        <w:rPr>
          <w:rFonts w:ascii="Times New Roman" w:eastAsia="仿宋" w:hAnsi="Times New Roman" w:cs="Times New Roman" w:hint="eastAsia"/>
          <w:szCs w:val="21"/>
        </w:rPr>
        <w:t>o</w:t>
      </w:r>
      <w:r w:rsidR="00BD4318" w:rsidRPr="00BD4318">
        <w:rPr>
          <w:rFonts w:ascii="Times New Roman" w:eastAsia="仿宋" w:hAnsi="Times New Roman" w:cs="Times New Roman"/>
          <w:szCs w:val="21"/>
        </w:rPr>
        <w:t xml:space="preserve">ne </w:t>
      </w:r>
      <w:r w:rsidR="00BD4318">
        <w:rPr>
          <w:rFonts w:ascii="Times New Roman" w:eastAsia="仿宋" w:hAnsi="Times New Roman" w:cs="Times New Roman" w:hint="eastAsia"/>
          <w:szCs w:val="21"/>
        </w:rPr>
        <w:t>b</w:t>
      </w:r>
      <w:r w:rsidR="00BD4318" w:rsidRPr="00BD4318">
        <w:rPr>
          <w:rFonts w:ascii="Times New Roman" w:eastAsia="仿宋" w:hAnsi="Times New Roman" w:cs="Times New Roman"/>
          <w:szCs w:val="21"/>
        </w:rPr>
        <w:t xml:space="preserve">ody with </w:t>
      </w:r>
      <w:r w:rsidR="00BD4318">
        <w:rPr>
          <w:rFonts w:ascii="Times New Roman" w:eastAsia="仿宋" w:hAnsi="Times New Roman" w:cs="Times New Roman" w:hint="eastAsia"/>
          <w:szCs w:val="21"/>
        </w:rPr>
        <w:t>t</w:t>
      </w:r>
      <w:r w:rsidR="00BD4318" w:rsidRPr="00BD4318">
        <w:rPr>
          <w:rFonts w:ascii="Times New Roman" w:eastAsia="仿宋" w:hAnsi="Times New Roman" w:cs="Times New Roman"/>
          <w:szCs w:val="21"/>
        </w:rPr>
        <w:t>hings</w:t>
      </w:r>
      <w:r w:rsidR="00BD4318">
        <w:rPr>
          <w:rFonts w:ascii="Times New Roman" w:eastAsia="仿宋" w:hAnsi="Times New Roman" w:cs="Times New Roman" w:hint="eastAsia"/>
          <w:szCs w:val="21"/>
        </w:rPr>
        <w:t>,</w:t>
      </w:r>
      <w:r w:rsidR="00BD4318" w:rsidRPr="00BD4318">
        <w:rPr>
          <w:rFonts w:ascii="Times New Roman" w:eastAsia="仿宋" w:hAnsi="Times New Roman" w:cs="Times New Roman"/>
          <w:szCs w:val="21"/>
        </w:rPr>
        <w:t xml:space="preserve"> </w:t>
      </w:r>
      <w:r w:rsidR="00BD4318">
        <w:rPr>
          <w:rFonts w:ascii="Times New Roman" w:eastAsia="仿宋" w:hAnsi="Times New Roman" w:cs="Times New Roman" w:hint="eastAsia"/>
          <w:szCs w:val="21"/>
        </w:rPr>
        <w:t>e</w:t>
      </w:r>
      <w:r w:rsidR="00BD4318" w:rsidRPr="00BD4318">
        <w:rPr>
          <w:rFonts w:ascii="Times New Roman" w:eastAsia="仿宋" w:hAnsi="Times New Roman" w:cs="Times New Roman"/>
          <w:szCs w:val="21"/>
        </w:rPr>
        <w:t>mpathy</w:t>
      </w:r>
      <w:r w:rsidR="00BD4318">
        <w:rPr>
          <w:rFonts w:ascii="Times New Roman" w:eastAsia="仿宋" w:hAnsi="Times New Roman" w:cs="Times New Roman" w:hint="eastAsia"/>
          <w:szCs w:val="21"/>
        </w:rPr>
        <w:t xml:space="preserve"> , l</w:t>
      </w:r>
      <w:r w:rsidR="00BD4318" w:rsidRPr="00BD4318">
        <w:rPr>
          <w:rFonts w:ascii="Times New Roman" w:eastAsia="仿宋" w:hAnsi="Times New Roman" w:cs="Times New Roman"/>
          <w:szCs w:val="21"/>
        </w:rPr>
        <w:t xml:space="preserve">ife and </w:t>
      </w:r>
      <w:r w:rsidR="00BD4318">
        <w:rPr>
          <w:rFonts w:ascii="Times New Roman" w:eastAsia="仿宋" w:hAnsi="Times New Roman" w:cs="Times New Roman" w:hint="eastAsia"/>
          <w:szCs w:val="21"/>
        </w:rPr>
        <w:t>v</w:t>
      </w:r>
      <w:r w:rsidR="00BD4318" w:rsidRPr="00BD4318">
        <w:rPr>
          <w:rFonts w:ascii="Times New Roman" w:eastAsia="仿宋" w:hAnsi="Times New Roman" w:cs="Times New Roman"/>
          <w:szCs w:val="21"/>
        </w:rPr>
        <w:t>itality</w:t>
      </w:r>
      <w:r w:rsidRPr="00FF5684">
        <w:rPr>
          <w:rFonts w:ascii="Times New Roman" w:eastAsia="仿宋" w:hAnsi="Times New Roman" w:cs="Times New Roman"/>
          <w:szCs w:val="21"/>
        </w:rPr>
        <w:t xml:space="preserve">,the paper </w:t>
      </w:r>
      <w:r w:rsidR="00BD4318">
        <w:rPr>
          <w:rFonts w:ascii="Times New Roman" w:eastAsia="仿宋" w:hAnsi="Times New Roman" w:cs="Times New Roman" w:hint="eastAsia"/>
          <w:szCs w:val="21"/>
        </w:rPr>
        <w:t>show</w:t>
      </w:r>
      <w:r w:rsidRPr="00FF5684">
        <w:rPr>
          <w:rFonts w:ascii="Times New Roman" w:eastAsia="仿宋" w:hAnsi="Times New Roman" w:cs="Times New Roman"/>
          <w:szCs w:val="21"/>
        </w:rPr>
        <w:t>s a comprehensive discussion about their specific meanings separately.</w:t>
      </w:r>
    </w:p>
    <w:p w:rsidR="000867C9" w:rsidRPr="00BD4318" w:rsidRDefault="005A06FE" w:rsidP="00BD4318">
      <w:pPr>
        <w:spacing w:line="360" w:lineRule="auto"/>
        <w:ind w:firstLineChars="200" w:firstLine="420"/>
        <w:jc w:val="left"/>
        <w:rPr>
          <w:rFonts w:ascii="Times New Roman" w:eastAsia="仿宋" w:hAnsi="Times New Roman" w:cs="Times New Roman"/>
          <w:color w:val="C00000"/>
          <w:sz w:val="48"/>
          <w:szCs w:val="21"/>
        </w:rPr>
      </w:pPr>
      <w:r w:rsidRPr="00FF5684">
        <w:rPr>
          <w:rFonts w:ascii="Times New Roman" w:eastAsia="仿宋" w:hAnsi="Times New Roman" w:cs="Times New Roman"/>
          <w:szCs w:val="21"/>
        </w:rPr>
        <w:t xml:space="preserve"> In the aspect of oneness benevolence, Cheng Hao put forward the thought of "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forming one body with things</w:t>
      </w:r>
      <w:r w:rsidRPr="00FF5684">
        <w:rPr>
          <w:rFonts w:ascii="Times New Roman" w:eastAsia="仿宋" w:hAnsi="Times New Roman" w:cs="Times New Roman"/>
          <w:szCs w:val="21"/>
        </w:rPr>
        <w:t xml:space="preserve">", which also had a certain influence on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Wang Shouren</w:t>
      </w:r>
      <w:r w:rsidRPr="00FF5684">
        <w:rPr>
          <w:rFonts w:ascii="Times New Roman" w:eastAsia="仿宋" w:hAnsi="Times New Roman" w:cs="Times New Roman"/>
          <w:szCs w:val="21"/>
        </w:rPr>
        <w:t xml:space="preserve">'s discussion about “all things of heaven and earth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s</w:t>
      </w:r>
      <w:r w:rsidR="0037530B" w:rsidRPr="00FF5684">
        <w:rPr>
          <w:rFonts w:ascii="Times New Roman" w:eastAsia="仿宋" w:hAnsi="Times New Roman" w:cs="Times New Roman"/>
          <w:szCs w:val="21"/>
        </w:rPr>
        <w:t xml:space="preserve">hould be felt </w:t>
      </w:r>
      <w:r w:rsidR="00BD4318">
        <w:rPr>
          <w:rFonts w:ascii="Times New Roman" w:eastAsia="仿宋" w:hAnsi="Times New Roman" w:cs="Times New Roman" w:hint="eastAsia"/>
          <w:szCs w:val="21"/>
        </w:rPr>
        <w:t>as</w:t>
      </w:r>
      <w:r w:rsidRPr="00BD4318">
        <w:rPr>
          <w:rFonts w:ascii="Times New Roman" w:eastAsia="仿宋" w:hAnsi="Times New Roman" w:cs="Times New Roman"/>
          <w:szCs w:val="21"/>
        </w:rPr>
        <w:t xml:space="preserve"> a whol</w:t>
      </w:r>
      <w:r w:rsidRPr="00FF5684">
        <w:rPr>
          <w:rFonts w:ascii="Times New Roman" w:eastAsia="仿宋" w:hAnsi="Times New Roman" w:cs="Times New Roman"/>
          <w:szCs w:val="21"/>
        </w:rPr>
        <w:t xml:space="preserve">e”. </w:t>
      </w:r>
      <w:r w:rsidR="0037530B" w:rsidRPr="00FF5684">
        <w:rPr>
          <w:rFonts w:ascii="Times New Roman" w:eastAsia="仿宋" w:hAnsi="Times New Roman" w:cs="Times New Roman"/>
          <w:szCs w:val="21"/>
        </w:rPr>
        <w:t>In the aspect of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 xml:space="preserve"> e</w:t>
      </w:r>
      <w:r w:rsidR="0037530B" w:rsidRPr="00FF5684">
        <w:rPr>
          <w:rFonts w:ascii="Times New Roman" w:eastAsia="仿宋" w:hAnsi="Times New Roman" w:cs="Times New Roman"/>
          <w:szCs w:val="21"/>
        </w:rPr>
        <w:t>mpathy</w:t>
      </w:r>
      <w:r w:rsidRPr="00FF5684">
        <w:rPr>
          <w:rFonts w:ascii="Times New Roman" w:eastAsia="仿宋" w:hAnsi="Times New Roman" w:cs="Times New Roman"/>
          <w:szCs w:val="21"/>
        </w:rPr>
        <w:t xml:space="preserve"> benevolence, </w:t>
      </w:r>
      <w:r w:rsidR="0037530B" w:rsidRPr="00BD4318">
        <w:rPr>
          <w:rFonts w:ascii="Times New Roman" w:eastAsia="仿宋" w:hAnsi="Times New Roman" w:cs="Times New Roman" w:hint="eastAsia"/>
          <w:szCs w:val="21"/>
        </w:rPr>
        <w:t>Cheng Hao</w:t>
      </w:r>
      <w:r w:rsidR="00BD4318" w:rsidRPr="00BD4318">
        <w:rPr>
          <w:rFonts w:ascii="Times New Roman" w:eastAsia="仿宋" w:hAnsi="Times New Roman" w:cs="Times New Roman"/>
          <w:szCs w:val="21"/>
        </w:rPr>
        <w:t xml:space="preserve"> </w:t>
      </w:r>
      <w:r w:rsidR="00BD4318" w:rsidRPr="00BD4318">
        <w:rPr>
          <w:rFonts w:ascii="Times New Roman" w:eastAsia="仿宋" w:hAnsi="Times New Roman" w:cs="Times New Roman" w:hint="eastAsia"/>
          <w:szCs w:val="21"/>
        </w:rPr>
        <w:t>explained</w:t>
      </w:r>
      <w:r w:rsidRPr="00BD4318">
        <w:rPr>
          <w:rFonts w:ascii="Times New Roman" w:eastAsia="仿宋" w:hAnsi="Times New Roman" w:cs="Times New Roman"/>
          <w:szCs w:val="21"/>
        </w:rPr>
        <w:t xml:space="preserve"> benevolence </w:t>
      </w:r>
      <w:r w:rsidR="00BD4318" w:rsidRPr="00BD4318">
        <w:rPr>
          <w:rFonts w:ascii="Times New Roman" w:eastAsia="仿宋" w:hAnsi="Times New Roman" w:cs="Times New Roman" w:hint="eastAsia"/>
          <w:szCs w:val="21"/>
        </w:rPr>
        <w:t xml:space="preserve">in the </w:t>
      </w:r>
      <w:r w:rsidR="00BD4318" w:rsidRPr="00BD4318">
        <w:rPr>
          <w:rFonts w:ascii="Times New Roman" w:eastAsia="仿宋" w:hAnsi="Times New Roman" w:cs="Times New Roman"/>
          <w:szCs w:val="21"/>
        </w:rPr>
        <w:t>way</w:t>
      </w:r>
      <w:r w:rsidR="00BD4318" w:rsidRPr="00BD4318">
        <w:rPr>
          <w:rFonts w:ascii="Times New Roman" w:eastAsia="仿宋" w:hAnsi="Times New Roman" w:cs="Times New Roman" w:hint="eastAsia"/>
          <w:szCs w:val="21"/>
        </w:rPr>
        <w:t xml:space="preserve"> that shows </w:t>
      </w:r>
      <w:r w:rsidR="00BD4318" w:rsidRPr="00BD4318">
        <w:rPr>
          <w:rFonts w:ascii="Times New Roman" w:eastAsia="仿宋" w:hAnsi="Times New Roman" w:cs="Times New Roman"/>
          <w:szCs w:val="21"/>
        </w:rPr>
        <w:t>patient</w:t>
      </w:r>
      <w:r w:rsidR="00BD4318" w:rsidRPr="00BD4318">
        <w:rPr>
          <w:rFonts w:ascii="Times New Roman" w:eastAsia="仿宋" w:hAnsi="Times New Roman" w:cs="Times New Roman" w:hint="eastAsia"/>
          <w:szCs w:val="21"/>
        </w:rPr>
        <w:t>s</w:t>
      </w:r>
      <w:r w:rsidR="00BD4318" w:rsidRPr="00BD4318">
        <w:rPr>
          <w:rFonts w:ascii="Times New Roman" w:eastAsia="仿宋" w:hAnsi="Times New Roman" w:cs="Times New Roman"/>
          <w:szCs w:val="21"/>
        </w:rPr>
        <w:t xml:space="preserve"> can feel the pain</w:t>
      </w:r>
      <w:r w:rsidR="00BD4318" w:rsidRPr="00BD4318">
        <w:rPr>
          <w:rFonts w:ascii="Times New Roman" w:eastAsia="仿宋" w:hAnsi="Times New Roman" w:cs="Times New Roman" w:hint="eastAsia"/>
          <w:szCs w:val="21"/>
        </w:rPr>
        <w:t xml:space="preserve"> in medical books.The b</w:t>
      </w:r>
      <w:r w:rsidRPr="00BD4318">
        <w:rPr>
          <w:rFonts w:ascii="Times New Roman" w:eastAsia="仿宋" w:hAnsi="Times New Roman" w:cs="Times New Roman"/>
          <w:szCs w:val="21"/>
        </w:rPr>
        <w:t>enevolent hold the view that all things of</w:t>
      </w:r>
      <w:r w:rsidRPr="00FF5684">
        <w:rPr>
          <w:rFonts w:ascii="Times New Roman" w:eastAsia="仿宋" w:hAnsi="Times New Roman" w:cs="Times New Roman"/>
          <w:szCs w:val="21"/>
        </w:rPr>
        <w:t xml:space="preserve"> the universe are closely related to themselves,thus their spiritual realm can reach anywhere without barrier,which not only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prompted</w:t>
      </w:r>
      <w:r w:rsidRPr="00FF5684">
        <w:rPr>
          <w:rFonts w:ascii="Times New Roman" w:eastAsia="仿宋" w:hAnsi="Times New Roman" w:cs="Times New Roman"/>
          <w:szCs w:val="21"/>
        </w:rPr>
        <w:t xml:space="preserve">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Xie Liangzuo</w:t>
      </w:r>
      <w:r w:rsidRPr="00FF5684">
        <w:rPr>
          <w:rFonts w:ascii="Times New Roman" w:eastAsia="仿宋" w:hAnsi="Times New Roman" w:cs="Times New Roman"/>
          <w:szCs w:val="21"/>
        </w:rPr>
        <w:t xml:space="preserve">’s discussion about this, but also greatly inspired the subsequent Neo-Confucianisms.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Cheng Hao</w:t>
      </w:r>
      <w:r w:rsidR="007F7E58" w:rsidRPr="00FF5684">
        <w:rPr>
          <w:rFonts w:ascii="Times New Roman" w:eastAsia="仿宋" w:hAnsi="Times New Roman" w:cs="Times New Roman"/>
          <w:szCs w:val="21"/>
        </w:rPr>
        <w:t xml:space="preserve"> also talked benevolence by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 xml:space="preserve"> life and vitality </w:t>
      </w:r>
      <w:r w:rsidRPr="00FF5684">
        <w:rPr>
          <w:rFonts w:ascii="Times New Roman" w:eastAsia="仿宋" w:hAnsi="Times New Roman" w:cs="Times New Roman"/>
          <w:szCs w:val="21"/>
        </w:rPr>
        <w:t xml:space="preserve">.In this aspect,he established the universe concept that life brought about the benevolence. Cheng Hao concerned about the thriving power of natural life, which also evoked Zhu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X</w:t>
      </w:r>
      <w:r w:rsidRPr="00FF5684">
        <w:rPr>
          <w:rFonts w:ascii="Times New Roman" w:eastAsia="仿宋" w:hAnsi="Times New Roman" w:cs="Times New Roman"/>
          <w:szCs w:val="21"/>
        </w:rPr>
        <w:t>i’s illustration that life is the heart of heaven and earth.</w:t>
      </w:r>
    </w:p>
    <w:p w:rsidR="000867C9" w:rsidRPr="00FF5684" w:rsidRDefault="000867C9">
      <w:pPr>
        <w:spacing w:line="360" w:lineRule="auto"/>
        <w:jc w:val="left"/>
        <w:rPr>
          <w:rFonts w:ascii="Times New Roman" w:eastAsia="仿宋" w:hAnsi="Times New Roman" w:cs="Times New Roman"/>
          <w:szCs w:val="21"/>
        </w:rPr>
      </w:pPr>
    </w:p>
    <w:p w:rsidR="000867C9" w:rsidRPr="00FF5684" w:rsidRDefault="00682DEE">
      <w:pPr>
        <w:spacing w:line="360" w:lineRule="auto"/>
        <w:rPr>
          <w:rFonts w:ascii="Times New Roman" w:eastAsia="仿宋" w:hAnsi="Times New Roman" w:cs="Times New Roman"/>
          <w:szCs w:val="21"/>
        </w:rPr>
      </w:pPr>
      <w:r w:rsidRPr="00FF5684">
        <w:rPr>
          <w:rFonts w:ascii="Times New Roman" w:eastAsia="仿宋" w:hAnsi="Times New Roman" w:cs="Times New Roman"/>
          <w:b/>
          <w:szCs w:val="21"/>
        </w:rPr>
        <w:t>Key words:</w:t>
      </w:r>
      <w:r w:rsidRPr="00FF5684">
        <w:t xml:space="preserve"> </w:t>
      </w:r>
      <w:r w:rsidRPr="00FF5684">
        <w:rPr>
          <w:rFonts w:ascii="Times New Roman" w:eastAsia="仿宋" w:hAnsi="Times New Roman" w:cs="Times New Roman"/>
          <w:szCs w:val="21"/>
        </w:rPr>
        <w:t>Ren(</w:t>
      </w:r>
      <w:r w:rsidR="005A06FE" w:rsidRPr="00FF5684">
        <w:rPr>
          <w:rFonts w:ascii="Times New Roman" w:eastAsia="仿宋" w:hAnsi="Times New Roman" w:cs="Times New Roman" w:hint="eastAsia"/>
          <w:szCs w:val="21"/>
        </w:rPr>
        <w:t>B</w:t>
      </w:r>
      <w:r w:rsidRPr="00FF5684">
        <w:rPr>
          <w:rFonts w:ascii="Times New Roman" w:eastAsia="仿宋" w:hAnsi="Times New Roman" w:cs="Times New Roman"/>
          <w:szCs w:val="21"/>
        </w:rPr>
        <w:t>enevolence</w:t>
      </w:r>
      <w:r w:rsidRPr="00FF5684">
        <w:rPr>
          <w:rFonts w:ascii="Times New Roman" w:eastAsia="仿宋" w:hAnsi="Times New Roman" w:cs="Times New Roman" w:hint="eastAsia"/>
          <w:szCs w:val="21"/>
        </w:rPr>
        <w:t>);</w:t>
      </w:r>
      <w:r w:rsidRPr="00FF5684">
        <w:t xml:space="preserve">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F</w:t>
      </w:r>
      <w:r w:rsidR="0037530B" w:rsidRPr="00FF5684">
        <w:rPr>
          <w:rFonts w:ascii="Times New Roman" w:eastAsia="仿宋" w:hAnsi="Times New Roman" w:cs="Times New Roman"/>
          <w:szCs w:val="21"/>
        </w:rPr>
        <w:t xml:space="preserve">orming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O</w:t>
      </w:r>
      <w:r w:rsidR="0037530B" w:rsidRPr="00FF5684">
        <w:rPr>
          <w:rFonts w:ascii="Times New Roman" w:eastAsia="仿宋" w:hAnsi="Times New Roman" w:cs="Times New Roman"/>
          <w:szCs w:val="21"/>
        </w:rPr>
        <w:t xml:space="preserve">ne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B</w:t>
      </w:r>
      <w:r w:rsidR="0037530B" w:rsidRPr="00FF5684">
        <w:rPr>
          <w:rFonts w:ascii="Times New Roman" w:eastAsia="仿宋" w:hAnsi="Times New Roman" w:cs="Times New Roman"/>
          <w:szCs w:val="21"/>
        </w:rPr>
        <w:t xml:space="preserve">ody with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T</w:t>
      </w:r>
      <w:r w:rsidR="0037530B" w:rsidRPr="00FF5684">
        <w:rPr>
          <w:rFonts w:ascii="Times New Roman" w:eastAsia="仿宋" w:hAnsi="Times New Roman" w:cs="Times New Roman"/>
          <w:szCs w:val="21"/>
        </w:rPr>
        <w:t>hings</w:t>
      </w:r>
      <w:r w:rsidRPr="00FF5684">
        <w:rPr>
          <w:rFonts w:ascii="Times New Roman" w:eastAsia="仿宋" w:hAnsi="Times New Roman" w:cs="Times New Roman" w:hint="eastAsia"/>
          <w:szCs w:val="21"/>
        </w:rPr>
        <w:t xml:space="preserve">;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Empathy</w:t>
      </w:r>
      <w:r w:rsidRPr="00FF5684">
        <w:rPr>
          <w:rFonts w:ascii="Times New Roman" w:eastAsia="仿宋" w:hAnsi="Times New Roman" w:cs="Times New Roman" w:hint="eastAsia"/>
          <w:szCs w:val="21"/>
        </w:rPr>
        <w:t>;</w:t>
      </w:r>
      <w:r w:rsidRPr="00FF5684">
        <w:t xml:space="preserve">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L</w:t>
      </w:r>
      <w:r w:rsidR="0037530B" w:rsidRPr="00FF5684">
        <w:rPr>
          <w:rFonts w:ascii="Times New Roman" w:eastAsia="仿宋" w:hAnsi="Times New Roman" w:cs="Times New Roman"/>
          <w:szCs w:val="21"/>
        </w:rPr>
        <w:t xml:space="preserve">ife and </w:t>
      </w:r>
      <w:r w:rsidR="0037530B" w:rsidRPr="00FF5684">
        <w:rPr>
          <w:rFonts w:ascii="Times New Roman" w:eastAsia="仿宋" w:hAnsi="Times New Roman" w:cs="Times New Roman" w:hint="eastAsia"/>
          <w:szCs w:val="21"/>
        </w:rPr>
        <w:t>V</w:t>
      </w:r>
      <w:r w:rsidR="0037530B" w:rsidRPr="00FF5684">
        <w:rPr>
          <w:rFonts w:ascii="Times New Roman" w:eastAsia="仿宋" w:hAnsi="Times New Roman" w:cs="Times New Roman"/>
          <w:szCs w:val="21"/>
        </w:rPr>
        <w:t>itality</w:t>
      </w:r>
    </w:p>
    <w:p w:rsidR="000867C9" w:rsidRPr="00FF5684" w:rsidRDefault="000867C9">
      <w:pPr>
        <w:spacing w:line="360" w:lineRule="auto"/>
        <w:ind w:firstLineChars="200" w:firstLine="420"/>
        <w:jc w:val="center"/>
        <w:rPr>
          <w:rFonts w:ascii="仿宋" w:eastAsia="仿宋" w:hAnsi="仿宋"/>
          <w:szCs w:val="21"/>
        </w:rPr>
      </w:pPr>
    </w:p>
    <w:p w:rsidR="00FF5684" w:rsidRDefault="00FF5684">
      <w:pPr>
        <w:pStyle w:val="1"/>
        <w:sectPr w:rsidR="00FF5684">
          <w:footerReference w:type="default" r:id="rId12"/>
          <w:footnotePr>
            <w:numFmt w:val="decimalEnclosedCircleChinese"/>
            <w:numRestart w:val="eachPage"/>
          </w:footnotePr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bookmarkStart w:id="3" w:name="_Toc480307672"/>
    </w:p>
    <w:p w:rsidR="000867C9" w:rsidRPr="00FF5684" w:rsidRDefault="00682DEE">
      <w:pPr>
        <w:pStyle w:val="1"/>
      </w:pPr>
      <w:r w:rsidRPr="00FF5684">
        <w:rPr>
          <w:rFonts w:hint="eastAsia"/>
        </w:rPr>
        <w:t>引言</w:t>
      </w:r>
      <w:bookmarkEnd w:id="3"/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F5684">
        <w:rPr>
          <w:rFonts w:ascii="宋体" w:eastAsia="宋体" w:hAnsi="宋体" w:hint="eastAsia"/>
          <w:sz w:val="24"/>
          <w:szCs w:val="24"/>
        </w:rPr>
        <w:t>仁是孔孟学说的核心概念，在中国思想史上，孔子把“仁”提升为一种最高的价值原则，构建了以“仁”为核心的仁学思想体系。他继承和发展了古代经典中有关仁的用法，不仅用人本主义精神解释了仁，而且把仁提升为最高的理想，仁成了一个既能表现人类优良美德</w:t>
      </w:r>
      <w:r w:rsidRPr="00FF5684">
        <w:rPr>
          <w:rFonts w:ascii="宋体" w:eastAsia="宋体" w:hAnsi="宋体"/>
          <w:sz w:val="24"/>
          <w:szCs w:val="24"/>
          <w:vertAlign w:val="superscript"/>
        </w:rPr>
        <w:footnoteReference w:id="1"/>
      </w:r>
      <w:r w:rsidRPr="00FF5684">
        <w:rPr>
          <w:rFonts w:ascii="宋体" w:eastAsia="宋体" w:hAnsi="宋体" w:hint="eastAsia"/>
          <w:sz w:val="24"/>
          <w:szCs w:val="24"/>
        </w:rPr>
        <w:t>，又能表现内外思维与实践模式的概念。刘宗贤与谢祥皓先生将仁的内涵梳理划分成了四个层次：血缘</w:t>
      </w:r>
      <w:r>
        <w:rPr>
          <w:rFonts w:ascii="宋体" w:eastAsia="宋体" w:hAnsi="宋体" w:hint="eastAsia"/>
          <w:sz w:val="24"/>
          <w:szCs w:val="24"/>
        </w:rPr>
        <w:t>亲情之爱、仁者爱人、个人品性、理想境界。通过对这四个层次的学习，我们可以从不同层面加深对仁学的理解，也更易找到共鸣。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春秋战国时期百家争鸣，孟子以孔子继承者的名义站出捍卫儒学地位。而在孟子学说中，很重要的一部分就是关于“仁”的探讨。孟子最早对孔子的仁学作了重要的诠释和发挥，丰富和发展了孔子的仁学，在儒学发展史上具有重要的意义，其中孟子对孔子仁学推进最关键的一步就是以心性论仁。</w:t>
      </w:r>
      <w:r>
        <w:rPr>
          <w:rStyle w:val="a8"/>
          <w:rFonts w:ascii="宋体" w:eastAsia="宋体" w:hAnsi="宋体"/>
          <w:sz w:val="24"/>
          <w:szCs w:val="24"/>
        </w:rPr>
        <w:footnoteReference w:id="2"/>
      </w:r>
      <w:r>
        <w:rPr>
          <w:rFonts w:ascii="宋体" w:eastAsia="宋体" w:hAnsi="宋体" w:hint="eastAsia"/>
          <w:sz w:val="24"/>
          <w:szCs w:val="24"/>
        </w:rPr>
        <w:t>通过对本心善性的讨论，以“恻隐之心”界定“仁”的内涵，更鲜明地开启了仁的内在化的观点。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 “儒家虽是入世之教，但唐代的儒学则已与中国人的日常生活脱节了”</w:t>
      </w:r>
      <w:r>
        <w:rPr>
          <w:rStyle w:val="a8"/>
          <w:rFonts w:ascii="宋体" w:eastAsia="宋体" w:hAnsi="宋体"/>
          <w:sz w:val="24"/>
          <w:szCs w:val="24"/>
        </w:rPr>
        <w:footnoteReference w:id="3"/>
      </w:r>
      <w:r>
        <w:rPr>
          <w:rFonts w:ascii="宋体" w:eastAsia="宋体" w:hAnsi="宋体" w:hint="eastAsia"/>
          <w:sz w:val="24"/>
          <w:szCs w:val="24"/>
        </w:rPr>
        <w:t>。至于北宋，濂溪——理学开山鼻祖，阐述“生生仁爱”的思想。“无极而太极。太极动而生阳，动极而静，静而生阴，静极复动。一动一静，互为其根。……乾道成男，坤道成女。二气交感，化生万物。万物生生而变化无穷焉。……圣人定之以中正仁义而主静，立人极焉。”（《太极图说》），反映了上天的好生之德，认为圣人的“仁”能够贯通宇宙生命，仁便是万物生生之爱。</w:t>
      </w:r>
    </w:p>
    <w:p w:rsidR="000867C9" w:rsidRPr="00FF5684" w:rsidRDefault="00682DEE" w:rsidP="00FF568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二程兄弟系统地阐述了理学的重要命题，奠定了理学的基础，并对后世理学的发展产生了深远的影响。冯友兰先生曾说“二人之学，开此后宋明道学中所谓程朱陆王之二派，亦可称为理学心学之二派。程伊川为程朱，即理学，一派之先驱，而程明道则陆王，即心学一派之先驱也。”。</w:t>
      </w:r>
      <w:r>
        <w:rPr>
          <w:rStyle w:val="a8"/>
          <w:rFonts w:ascii="宋体" w:eastAsia="宋体" w:hAnsi="宋体"/>
          <w:sz w:val="24"/>
          <w:szCs w:val="24"/>
        </w:rPr>
        <w:footnoteReference w:id="4"/>
      </w:r>
      <w:r>
        <w:rPr>
          <w:rFonts w:ascii="宋体" w:eastAsia="宋体" w:hAnsi="宋体" w:hint="eastAsia"/>
          <w:sz w:val="24"/>
          <w:szCs w:val="24"/>
        </w:rPr>
        <w:t>牟宗三先生也曾言二者“生命之劲力与智慧之方向”</w:t>
      </w:r>
      <w:r>
        <w:rPr>
          <w:rStyle w:val="a8"/>
          <w:rFonts w:ascii="宋体" w:eastAsia="宋体" w:hAnsi="宋体"/>
          <w:sz w:val="24"/>
          <w:szCs w:val="24"/>
        </w:rPr>
        <w:footnoteReference w:id="5"/>
      </w:r>
      <w:r>
        <w:rPr>
          <w:rFonts w:ascii="宋体" w:eastAsia="宋体" w:hAnsi="宋体" w:hint="eastAsia"/>
          <w:sz w:val="24"/>
          <w:szCs w:val="24"/>
        </w:rPr>
        <w:t>不同。所以我们更有将二者分开研究的必要，在这篇文章中笔者主要阐述明道先生的仁学思想，同时关涉他对朱子、阳明等相关观点的不同影响。</w:t>
      </w:r>
    </w:p>
    <w:p w:rsidR="000867C9" w:rsidRDefault="00682DEE">
      <w:pPr>
        <w:pStyle w:val="1"/>
        <w:rPr>
          <w:sz w:val="32"/>
        </w:rPr>
      </w:pPr>
      <w:bookmarkStart w:id="4" w:name="_Toc480307673"/>
      <w:r>
        <w:rPr>
          <w:rFonts w:hint="eastAsia"/>
        </w:rPr>
        <w:t>一、以一体论仁</w:t>
      </w:r>
      <w:bookmarkEnd w:id="4"/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明道以为吾人实本来与天地万物为一体，不过吾人多执个体以为我，遂将我与世界分开。</w:t>
      </w:r>
      <w:r>
        <w:rPr>
          <w:rStyle w:val="a8"/>
          <w:rFonts w:ascii="宋体" w:eastAsia="宋体" w:hAnsi="宋体"/>
          <w:sz w:val="24"/>
          <w:szCs w:val="24"/>
        </w:rPr>
        <w:footnoteReference w:id="6"/>
      </w:r>
      <w:r>
        <w:rPr>
          <w:rFonts w:ascii="宋体" w:eastAsia="宋体" w:hAnsi="宋体" w:hint="eastAsia"/>
          <w:sz w:val="24"/>
          <w:szCs w:val="24"/>
        </w:rPr>
        <w:t>明道在以一体论仁方面，相对前人有了很大的发展，明道明确提出我与万物一体，无分彼此，相合而一。下文通过对张载、程颢和王守仁的仁学思想的分析，展现宋明理学家以一体论仁的理论与方法。</w:t>
      </w:r>
    </w:p>
    <w:p w:rsidR="000867C9" w:rsidRDefault="00682DEE">
      <w:pPr>
        <w:rPr>
          <w:rFonts w:ascii="宋体" w:eastAsia="宋体" w:hAnsi="宋体"/>
          <w:b/>
          <w:sz w:val="28"/>
          <w:szCs w:val="28"/>
        </w:rPr>
      </w:pPr>
      <w:bookmarkStart w:id="5" w:name="_Toc480307674"/>
      <w:r>
        <w:rPr>
          <w:rFonts w:ascii="宋体" w:eastAsia="宋体" w:hAnsi="宋体" w:hint="eastAsia"/>
          <w:b/>
          <w:sz w:val="28"/>
          <w:szCs w:val="28"/>
        </w:rPr>
        <w:t>1、</w:t>
      </w:r>
      <w:bookmarkEnd w:id="5"/>
      <w:r w:rsidR="00F60FF0" w:rsidRPr="00F60FF0">
        <w:rPr>
          <w:rFonts w:ascii="宋体" w:eastAsia="宋体" w:hAnsi="宋体" w:hint="eastAsia"/>
          <w:b/>
          <w:sz w:val="28"/>
          <w:szCs w:val="28"/>
        </w:rPr>
        <w:t>明道言“浑然与物同体”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color w:val="0070C0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著名的学说“仁者浑然与物同体”出自明道的《识仁篇》，在文章中，我们可以读到：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学者须先识仁。仁者，浑然与物同体，义、礼、知、信皆仁也。识得此理，以诚敬存之而已，不须防检，不须穷索。若心懈则有防；心苟不懈，何防之有！理有未得，故须穷索；存久自明，安待穷索！此道与物无对，大不足以明之。天地之用，皆我之用。孟子言“万物皆备于我”，须反身而诚，乃为大乐。若反身未诚，则犹是二物有对，以己合彼，终未有之，又安得乐！《订顽》意思，乃备言此体，以此意存之，更有何事？“必有事焉而勿正，心勿忘，勿助长”，未尝致纤毫之力，此其存之之道。若存得，便合有得。盖良知良能元不丧失。以昔日习心未除，却须存习此心，久则可夺旧习。此理至约，惟患不能守。既能体之而乐，亦不患不能守也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7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文章开篇便说“学者须先识仁”，仁就是天地的本性，识仁就是认识天地的本性。而“浑然与物同体”讲的就是我们能达到的最高的境界便是天人合一，要想达到最高的境界，便是先要识仁。仁既是五常之一，又是五常之基础，仁包四德，义礼智信皆为仁。我们要知“先识仁”这个道理，随后表里如一，持之以恒。识仁是道德实践的方向，诚敬存之则是实现此的工夫，</w:t>
      </w:r>
      <w:r>
        <w:rPr>
          <w:rStyle w:val="a8"/>
          <w:rFonts w:ascii="宋体" w:eastAsia="宋体" w:hAnsi="宋体"/>
          <w:sz w:val="24"/>
          <w:szCs w:val="24"/>
        </w:rPr>
        <w:footnoteReference w:id="8"/>
      </w:r>
      <w:r>
        <w:rPr>
          <w:rFonts w:ascii="宋体" w:eastAsia="宋体" w:hAnsi="宋体" w:hint="eastAsia"/>
          <w:sz w:val="24"/>
          <w:szCs w:val="24"/>
        </w:rPr>
        <w:t>防检便是外在的逼迫，识仁不须要外在时刻告知自己不要做这个不要做那个，而是要内在地持之以恒。心里如果懈怠才会需要防检，但如像开篇已知要先识仁，则有了一个目标在此处树立，心中便不会有所懈怠，自然则无需防检。这个道理是“与物无对”的，“与物无对”便是与物无限，中间没有阻隔、没有隔阂，有对便是有限、有隔阂。那么如何“与物无对”呢，自然便是与物融为一体，如此“万物之用”即是“我之用”。如此“万物皆备于我”和我皆备于万物则也是没有区别的了，“反身而诚”讲求的是一种生命的自认，人生在现实生活中都会有不停地追求，但是任何时候人都需要有生命的反省，人要知道在这有限的不完美的生命中也有其神圣性。如果我们能做到“反身而诚”，则能体会到我生之为人，与万物一体的快乐。如果我不能做到“反身而诚”，则我个人与天地万物不能融为一体，二物有对，则自然不可得乐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世界万物的一体即是仁，宇宙万有的一体即是仁，故万物一体即是仁体，即是本体。</w:t>
      </w:r>
      <w:r>
        <w:rPr>
          <w:rStyle w:val="a8"/>
          <w:rFonts w:ascii="宋体" w:eastAsia="宋体" w:hAnsi="宋体"/>
          <w:sz w:val="24"/>
          <w:szCs w:val="24"/>
        </w:rPr>
        <w:footnoteReference w:id="9"/>
      </w:r>
      <w:r>
        <w:rPr>
          <w:rFonts w:ascii="宋体" w:eastAsia="宋体" w:hAnsi="宋体" w:hint="eastAsia"/>
          <w:sz w:val="24"/>
          <w:szCs w:val="24"/>
        </w:rPr>
        <w:t>我们将万物说成是共生关联的整体，主要想说的是其中的有机关联，我们不能离开万物而独自存在，万物也不能舍弃我们，两者之间少了任何一个都不再是一个完整的整体。我们说“与物同体”并不是说我们就是万物，万物也就是我们，我们虽然要与万物“无对”，但我们终究不能成为彼此，或者代替彼此。程颢以“浑然与物同体”来解“仁之体”,突出“仁”作为精神境界而非宇宙原理的意义,程颢认为人与万物都以天道易体为体,这就是程颢言“仁者以天地万物为一体”的内在依据。</w:t>
      </w:r>
      <w:r>
        <w:rPr>
          <w:rStyle w:val="a8"/>
          <w:rFonts w:ascii="宋体" w:eastAsia="宋体" w:hAnsi="宋体"/>
          <w:sz w:val="24"/>
          <w:szCs w:val="24"/>
        </w:rPr>
        <w:footnoteReference w:id="10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我们要在精神境界中认清这点，我们把万物融为一体是要将其中的关联理清，让万物能够紧密融合，二者还是二者，不可变为一者，只可称之“一体”。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在《遗书》中还有一条说：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学者须敬守此心，不可急迫。当栽培深厚，涵泳于其间，然后可以自得。但急迫求之，只是私己，终不足以达道。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11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们要识仁，达到“浑然与物同体”的境界，是一个过程，并且有可能是一个极缓慢的过程，在此期间，我们应当“敬守此心”，万万不可急迫。我们如果急于达到这个境界，反而只是为了满足自己的私心，并不是真正的想要识仁或是与物同体，当然最终不可以达道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们无论是学习浅显的知识，还是深刻的人生哲学，或是想要达到某种境界，都要首先明确自己的目标，然后在通往目标的途中不忘初心，同时也要及时认清自己的水平。任何事情都不是一蹴而就的，无论是学习最简单的生活技能，还是在精神境界中成圣成贤，我们都不能急迫。我们的目的或是想要获得精神上的满足，或是想要有兼济天下的胸怀，抑或只是想要把生活中的一件小事做好，以此利人利己，都要知道我们只要禀怀着一个善念，坚定地朝着一个方向，最终必然会达到目的。当我们为一件事的准备足够充足的时候，自然就会有一个很好的时机，从而让我们能有机会做好这个事情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再次回到明道所说的“仁者浑然与物同体”也是这个意思，我们识仁就是确定一个目标、一个理想，我们要为此去奋斗。但是在到达目标之前的很多事情是和我们的目标有关的，我们也许什么都没有意识到，也有可能忽略了某一部分，这也就是没有意识到“万物与我为一”，我们周遭的一切都应与我们有所关联。儒家的仁学主张重视万物一体，或者说万物的共生共在，万物互相关联而成为一体。故仁是根本的真实，终极的实在，绝对的形而上学的本体，是世界的根本原理。</w:t>
      </w:r>
      <w:r>
        <w:rPr>
          <w:rStyle w:val="a8"/>
          <w:rFonts w:ascii="宋体" w:eastAsia="宋体" w:hAnsi="宋体"/>
          <w:sz w:val="24"/>
          <w:szCs w:val="24"/>
        </w:rPr>
        <w:footnoteReference w:id="12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当我们能达到“至仁”的境界，我就不再仅仅是浩淼苍茫天地间那犹如尘埃的小我，而是万物为我一身。正所谓“放这身来，都在万物中一例看，大小大快活！”</w:t>
      </w:r>
      <w:r>
        <w:rPr>
          <w:rStyle w:val="a8"/>
          <w:rFonts w:ascii="宋体" w:eastAsia="宋体" w:hAnsi="宋体"/>
          <w:sz w:val="24"/>
          <w:szCs w:val="24"/>
        </w:rPr>
        <w:footnoteReference w:id="13"/>
      </w:r>
    </w:p>
    <w:p w:rsidR="00730B47" w:rsidRDefault="00730B4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0867C9" w:rsidRDefault="00682DEE">
      <w:pPr>
        <w:rPr>
          <w:rFonts w:ascii="宋体" w:eastAsia="宋体" w:hAnsi="宋体"/>
          <w:b/>
          <w:sz w:val="28"/>
          <w:szCs w:val="28"/>
        </w:rPr>
      </w:pPr>
      <w:bookmarkStart w:id="6" w:name="_Toc480307675"/>
      <w:r>
        <w:rPr>
          <w:rFonts w:ascii="宋体" w:eastAsia="宋体" w:hAnsi="宋体" w:hint="eastAsia"/>
          <w:b/>
          <w:sz w:val="28"/>
          <w:szCs w:val="28"/>
        </w:rPr>
        <w:t>2、</w:t>
      </w:r>
      <w:bookmarkEnd w:id="6"/>
      <w:r w:rsidR="00F60FF0" w:rsidRPr="00F60FF0">
        <w:rPr>
          <w:rFonts w:ascii="宋体" w:eastAsia="宋体" w:hAnsi="宋体" w:hint="eastAsia"/>
          <w:b/>
          <w:sz w:val="28"/>
          <w:szCs w:val="28"/>
        </w:rPr>
        <w:t>与张载的对照：“民胞物与”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color w:val="4F81BD" w:themeColor="accent1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程颢上述“浑然与物同体”的学说，</w:t>
      </w:r>
      <w:r w:rsidR="00F60FF0" w:rsidRPr="0037530B">
        <w:rPr>
          <w:rFonts w:ascii="宋体" w:eastAsia="宋体" w:hAnsi="宋体" w:hint="eastAsia"/>
          <w:sz w:val="24"/>
          <w:szCs w:val="24"/>
        </w:rPr>
        <w:t>与</w:t>
      </w:r>
      <w:r w:rsidRPr="0037530B">
        <w:rPr>
          <w:rFonts w:ascii="宋体" w:eastAsia="宋体" w:hAnsi="宋体" w:hint="eastAsia"/>
          <w:sz w:val="24"/>
          <w:szCs w:val="24"/>
        </w:rPr>
        <w:t>张载“民胞物与”的思想</w:t>
      </w:r>
      <w:r w:rsidR="00F60FF0" w:rsidRPr="0037530B">
        <w:rPr>
          <w:rFonts w:ascii="宋体" w:eastAsia="宋体" w:hAnsi="宋体" w:hint="eastAsia"/>
          <w:sz w:val="24"/>
          <w:szCs w:val="24"/>
        </w:rPr>
        <w:t>也有所关联</w:t>
      </w:r>
      <w:r>
        <w:rPr>
          <w:rFonts w:ascii="宋体" w:eastAsia="宋体" w:hAnsi="宋体" w:hint="eastAsia"/>
          <w:sz w:val="24"/>
          <w:szCs w:val="24"/>
        </w:rPr>
        <w:t>，张载在《订顽》（《西铭》）中写道：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乾称父，坤称母；予兹藐焉，乃混然中处。……民，吾同胞；物，吾与也。……凡天下疲癃、残疾、惸独、鳏寡，皆吾兄弟之颠连而无告者也。……富贵福泽，将厚吾之生也；贫贱忧戚，庸玉汝于成也。存，吾顺事；没，吾宁也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14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那么我们可以明显看出程颢的“仁者浑然与物同体”这一论断，与张载民胞物与的思想密切相关。如果说张载强调把宇宙看作一家，那么程颢则更强调把万物看成一人。</w:t>
      </w:r>
      <w:r>
        <w:rPr>
          <w:rStyle w:val="a8"/>
          <w:rFonts w:ascii="宋体" w:eastAsia="宋体" w:hAnsi="宋体"/>
          <w:sz w:val="24"/>
          <w:szCs w:val="24"/>
        </w:rPr>
        <w:footnoteReference w:id="15"/>
      </w:r>
      <w:r>
        <w:rPr>
          <w:rFonts w:ascii="宋体" w:eastAsia="宋体" w:hAnsi="宋体"/>
          <w:sz w:val="24"/>
          <w:szCs w:val="24"/>
        </w:rPr>
        <w:t>程颢在张载的基础上更加强调与物同体，也更加深刻地为我们揭示了其间难明的道理。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天是我的父亲，地是我的母亲，天地生我养我，同样天地也生养万物。那么我虽然渺小，但</w:t>
      </w:r>
      <w:r>
        <w:rPr>
          <w:rFonts w:ascii="宋体" w:eastAsia="宋体" w:hAnsi="宋体" w:hint="eastAsia"/>
          <w:sz w:val="24"/>
          <w:szCs w:val="24"/>
        </w:rPr>
        <w:t>却混有天地之道于一身，而处于天地之间。人民百姓是我同胞的兄弟姊妹，而万物皆与我为同类。这些有困难的人都是我 受苦而无处诉说的兄弟，在这里又能看出儒家一贯向往的大同世界，而大同也是“仁”的最终归途。富贵是我乾坤父母所赐，用来宽厚我的生活，贫贱是我成功道路上必不可少的坎坷与挑战。在世顺从天地，死去心中安宁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在明道看来，横渠的《西铭》一篇中“民胞物与”讲的正是“仁之体”：“《订顽》（即《西铭》）一篇，意极完备，乃仁之体也。”</w:t>
      </w:r>
      <w:r>
        <w:rPr>
          <w:rStyle w:val="a8"/>
          <w:rFonts w:ascii="宋体" w:eastAsia="宋体" w:hAnsi="宋体"/>
          <w:sz w:val="24"/>
          <w:szCs w:val="24"/>
        </w:rPr>
        <w:footnoteReference w:id="16"/>
      </w:r>
      <w:r>
        <w:rPr>
          <w:rFonts w:ascii="宋体" w:eastAsia="宋体" w:hAnsi="宋体" w:hint="eastAsia"/>
          <w:sz w:val="24"/>
          <w:szCs w:val="24"/>
        </w:rPr>
        <w:t>在《识仁》篇中，明道也将自己对“仁”的体会与《西铭》联系起来，在《识仁》篇中写道：“《订顽》意思，乃备言此体。”由此便更可看出明道“仁者浑然与物同体”的观点收到了横渠很大的影响。从境界上看，明道与横渠观点无二，但在根本上不可与二者统一而论。在横渠看来万物皆由天地所生，乃一气之所成，明道却认为天、人本为一体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在横渠看来，吾人之体，即宇宙之体；吾人之性，则宇宙之性。</w:t>
      </w:r>
      <w:r>
        <w:rPr>
          <w:rStyle w:val="a8"/>
          <w:rFonts w:ascii="宋体" w:eastAsia="宋体" w:hAnsi="宋体"/>
          <w:sz w:val="24"/>
          <w:szCs w:val="24"/>
        </w:rPr>
        <w:footnoteReference w:id="17"/>
      </w:r>
      <w:r>
        <w:rPr>
          <w:rFonts w:ascii="宋体" w:eastAsia="宋体" w:hAnsi="宋体" w:hint="eastAsia"/>
          <w:sz w:val="24"/>
          <w:szCs w:val="24"/>
        </w:rPr>
        <w:t>我们应当像对待父母一样对待宇宙，我们应当像对待自己的兄弟姐妹一般对待其他人，将生活中的幸运当作宇宙的恩赐，将生活中的挫折当作宇宙的考验。当我们能真正融入这个世界，真实地成为其中一员，我们就真正能感到一种随心所欲。当我们的心灵不再游离于宇宙之外，当我们的精神境界能够和世界相契合，也就能达到“不以物喜，不以己悲”的程度了吧。只有人生真正地豁达，才能感受到“仁体”，才能感受到“仁”作为本体的意义。当我们能够做到亲人亲物，我们也就能够随心所欲，因为宇宙与我本为一体。那么到今天而言，我们也许就不会冷漠，学得会推己及人，当他人他物需要帮助时，我们能不言自明。并且做了一些好的事情之后，我们自然能在内心生发一种浑然的畅快。因为这就如同帮了我们自己，使我们自己受益受利。</w:t>
      </w:r>
    </w:p>
    <w:p w:rsidR="000867C9" w:rsidRDefault="000867C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0867C9" w:rsidRDefault="00682DEE">
      <w:pPr>
        <w:rPr>
          <w:rFonts w:ascii="宋体" w:eastAsia="宋体" w:hAnsi="宋体"/>
          <w:b/>
          <w:sz w:val="28"/>
          <w:szCs w:val="28"/>
        </w:rPr>
      </w:pPr>
      <w:bookmarkStart w:id="7" w:name="_Toc480307676"/>
      <w:r>
        <w:rPr>
          <w:rFonts w:ascii="宋体" w:eastAsia="宋体" w:hAnsi="宋体" w:hint="eastAsia"/>
          <w:b/>
          <w:sz w:val="28"/>
          <w:szCs w:val="28"/>
        </w:rPr>
        <w:t>3、</w:t>
      </w:r>
      <w:bookmarkEnd w:id="7"/>
      <w:r w:rsidR="00F60FF0" w:rsidRPr="00F60FF0">
        <w:rPr>
          <w:rFonts w:ascii="宋体" w:eastAsia="宋体" w:hAnsi="宋体" w:hint="eastAsia"/>
          <w:b/>
          <w:sz w:val="28"/>
          <w:szCs w:val="28"/>
        </w:rPr>
        <w:t>阳明的发展：“以天地万物为一体”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以一体论仁的方法到了明代更为发展，王阳明特别阐述了万物一体的思想，使其万物一体的思想成为和他致良知思想达到同等重要的地位。</w:t>
      </w:r>
      <w:r>
        <w:rPr>
          <w:rStyle w:val="a8"/>
          <w:rFonts w:ascii="宋体" w:eastAsia="宋体" w:hAnsi="宋体"/>
          <w:sz w:val="24"/>
          <w:szCs w:val="24"/>
        </w:rPr>
        <w:footnoteReference w:id="18"/>
      </w:r>
      <w:r>
        <w:rPr>
          <w:rFonts w:ascii="宋体" w:eastAsia="宋体" w:hAnsi="宋体" w:hint="eastAsia"/>
          <w:sz w:val="24"/>
          <w:szCs w:val="24"/>
        </w:rPr>
        <w:t>在《重修山阴县学记》中，王阳明说：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圣人之求尽其心也，以天地万物为一体也。……故于是有纪纲政事之设焉，有礼乐教化之施焉，凡以裁成辅相、成己成物，而求尽吾心焉耳。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19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圣人所求尽心而已，圣人想要达到天地万物为一体，不能仅仅做到身边事物为一体。我的父子亲近不代表天下的父子亲近，我对君主忠义不代表天下尽是忠义之人，我的夫妻之间相敬如宾、长幼有序、朋友信义，不代表天下人如此，这就是圣人说自己未尽心的原因。所以圣人要如何“尽心”呢？圣人要设纪纲政事、施礼乐教化，由此成己成物，达到尽心。但这是圣人尽心的工夫，我们要做的就是追寻圣人的脚步，学习圣人的行为，也能做到尽吾心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自程颢以致王阳明诸学说中，仁之最高实践，即仁者以天地万物为一体的学说。</w:t>
      </w:r>
      <w:r>
        <w:rPr>
          <w:rStyle w:val="a8"/>
          <w:rFonts w:ascii="宋体" w:eastAsia="宋体" w:hAnsi="宋体"/>
          <w:sz w:val="24"/>
          <w:szCs w:val="24"/>
        </w:rPr>
        <w:footnoteReference w:id="20"/>
      </w:r>
      <w:r>
        <w:rPr>
          <w:rFonts w:ascii="宋体" w:eastAsia="宋体" w:hAnsi="宋体" w:hint="eastAsia"/>
          <w:sz w:val="24"/>
          <w:szCs w:val="24"/>
        </w:rPr>
        <w:t>王阳明在《大学问》中，对此有具体的解释，也使我们更加清晰地了解阳明关于一体论仁的认识：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大人者，以天地万物为一体者也。其视天下犹一家，中国犹一人焉。……大人之能以天地万物为一体也，非意之也，其心之仁本若是，其与天地万物而为一也。……小人之心既已分隔隘陋矣，而其一体之仁犹能不昧若此者，是其未动于欲，而未蔽于私之时也。及其动于欲，蔽于私，而利害相攻，忿怒相激，则将戕物纪类，无所不为，其甚至有骨肉相残者，而一体之仁亡矣。是故苟无私欲之蔽，则虽小人之心，而其一体之仁犹大人也；一有私欲之蔽，则虽大人之心，而其分隔隘陋犹小人矣。故夫为大人之学者，亦惟去其私欲之蔽，以明其明德，复其天地万物一体之本然而已耳。非能于本体之外，而有所增益之也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21"/>
      </w:r>
    </w:p>
    <w:p w:rsidR="000867C9" w:rsidRDefault="00682DEE">
      <w:pPr>
        <w:tabs>
          <w:tab w:val="right" w:pos="8306"/>
        </w:tabs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儒家的经典《大学》有“三纲领”、“八条目”。三纲领是：“在明明德，在亲民，在止于至善。”以上可以说是王阳明对</w:t>
      </w:r>
      <w:r>
        <w:rPr>
          <w:rFonts w:ascii="宋体" w:eastAsia="宋体" w:hAnsi="宋体"/>
          <w:sz w:val="24"/>
          <w:szCs w:val="24"/>
        </w:rPr>
        <w:t>于明明德的解释。大人也就是能以天地万物为一体的仁者，这里的仁是大人时时存有的心意，是他本就有的一颗仁心，并且他的仁心就是与天地万物一体的。我们见到孺子入井心有不忍，便是把孺子和我们当作了一体，而我们不仅对人有此等感受，我们见到鸟兽哀鸣，内心也会怜悯，那么我们此时也就是和鸟兽一体。鸟兽也是有知觉的的，它们见到草木枯折也会有怜惜，草木见到瓦石破损也会有不忍之情，那么它们就都是将彼此当作了一体。这一体的仁心即使是分尔我的小人也是拥有的，小人的坏念头没有动时，也会有一颗将万物视为一体的仁心。他们的仁心只是被做坏事的念头所遮蔽了。我们都是普通人，都会有私欲，如今是不能做到阳明所说的“仁与万物为一体的”，我们要能去其私欲之蔽，而明明德。</w:t>
      </w:r>
    </w:p>
    <w:p w:rsidR="000867C9" w:rsidRDefault="00682DEE">
      <w:pPr>
        <w:tabs>
          <w:tab w:val="right" w:pos="8306"/>
        </w:tabs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当然，阳明此说，只在心上讲天地万物为一体，还是不够的，只有在本体上讲一体之仁，方才周遍。</w:t>
      </w:r>
      <w:r>
        <w:rPr>
          <w:rStyle w:val="a8"/>
          <w:rFonts w:ascii="宋体" w:eastAsia="宋体" w:hAnsi="宋体"/>
          <w:sz w:val="24"/>
          <w:szCs w:val="24"/>
        </w:rPr>
        <w:footnoteReference w:id="22"/>
      </w:r>
      <w:r>
        <w:rPr>
          <w:rFonts w:ascii="宋体" w:eastAsia="宋体" w:hAnsi="宋体"/>
          <w:sz w:val="24"/>
          <w:szCs w:val="24"/>
        </w:rPr>
        <w:t>如果我们仅仅在心中说一体为仁，那么就罔顾了宇宙中如此许多生灵的存在。我们生于此世间，鸟兽花草也同样生于此世间，人又与它们有甚区别呢？人既与天地万物为一体，自应一视同仁，何以又有厚薄之分？</w:t>
      </w:r>
      <w:r>
        <w:rPr>
          <w:rStyle w:val="a8"/>
          <w:rFonts w:ascii="宋体" w:eastAsia="宋体" w:hAnsi="宋体"/>
          <w:sz w:val="24"/>
          <w:szCs w:val="24"/>
        </w:rPr>
        <w:footnoteReference w:id="23"/>
      </w:r>
      <w:r>
        <w:rPr>
          <w:rFonts w:ascii="宋体" w:eastAsia="宋体" w:hAnsi="宋体"/>
          <w:sz w:val="24"/>
          <w:szCs w:val="24"/>
        </w:rPr>
        <w:tab/>
      </w:r>
    </w:p>
    <w:p w:rsidR="00730B47" w:rsidRDefault="00730B47">
      <w:pPr>
        <w:tabs>
          <w:tab w:val="right" w:pos="8306"/>
        </w:tabs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0867C9" w:rsidRDefault="00682DEE">
      <w:pPr>
        <w:pStyle w:val="1"/>
        <w:rPr>
          <w:sz w:val="32"/>
        </w:rPr>
      </w:pPr>
      <w:bookmarkStart w:id="8" w:name="_Toc480307677"/>
      <w:r>
        <w:rPr>
          <w:rFonts w:hint="eastAsia"/>
        </w:rPr>
        <w:t>二、以知觉论仁</w:t>
      </w:r>
      <w:bookmarkEnd w:id="8"/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明道以一体论仁的这种境界的基本特征是“浑然与物同体”、“万物一体”，其意义是要把自己和宇宙万物看成息息相关的一个整体，把宇宙的每一部分都看成和自己有直接的联系，看成自己的一部分。</w:t>
      </w:r>
      <w:r>
        <w:rPr>
          <w:rStyle w:val="a8"/>
          <w:rFonts w:ascii="宋体" w:eastAsia="宋体" w:hAnsi="宋体"/>
          <w:sz w:val="24"/>
          <w:szCs w:val="24"/>
        </w:rPr>
        <w:footnoteReference w:id="24"/>
      </w:r>
      <w:r>
        <w:rPr>
          <w:rFonts w:ascii="宋体" w:eastAsia="宋体" w:hAnsi="宋体" w:hint="eastAsia"/>
          <w:sz w:val="24"/>
          <w:szCs w:val="24"/>
        </w:rPr>
        <w:t>那么在这个意义上“我”就不再指个我的小我了，而是天地一大我。程颢也就不仅仅从一体方面论仁，也强调以知觉方面来论仁的重要性。</w:t>
      </w:r>
    </w:p>
    <w:p w:rsidR="000867C9" w:rsidRDefault="00682DEE">
      <w:pPr>
        <w:rPr>
          <w:rFonts w:ascii="宋体" w:eastAsia="宋体" w:hAnsi="宋体"/>
          <w:b/>
          <w:sz w:val="28"/>
          <w:szCs w:val="28"/>
        </w:rPr>
      </w:pPr>
      <w:bookmarkStart w:id="9" w:name="_Toc480307678"/>
      <w:r>
        <w:rPr>
          <w:rFonts w:ascii="宋体" w:eastAsia="宋体" w:hAnsi="宋体" w:hint="eastAsia"/>
          <w:b/>
          <w:sz w:val="28"/>
          <w:szCs w:val="28"/>
        </w:rPr>
        <w:t>1、明道以知痛痒论仁</w:t>
      </w:r>
      <w:bookmarkEnd w:id="9"/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明道见医生对病人实施针灸，并观医书，对论仁的方向有了新的体悟：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医书言手足痿痹为不仁；此言最善名状。仁者,以天地万物为一体,莫非己也。认得为己,何所不至?若不有诸己,自不与己相干。如手足不仁, 气已不贯，皆不属己。故博施济众，乃圣人之功用。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25"/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医家以不识痛痒谓之不仁，人以不知觉不认义理为不仁，譬最近。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26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明道以医书中比喻痛感的概念来比喻仁，无可谓不恰当。他以说不仁的例子，将仁显现出来。仁者将天地万物都看作是与自己息息相关的东西，如此自己的境界便无所不至，无有不通。在医书中，医者将手足无法感知疼痛的病症叫作“不仁”，在程颢看来是极为恰当的，因为不识痛痒的不仁与不知义理的不仁在本质上都是相通的。程颢认为一个人麻木不仁，血脉不通，那么就不能将四肢当作身体的一部分来感受，我们必须把万物当作自己的四肢一样，让其与我们血脉相通、气息相贯，才能不是麻木不仁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们的四肢对我们来说是极其重要的，如果有任何一肢疼痛的话，我们都会感到不适。但是如果当人患了手足痿痹之症，那么他就感受不到肢体的疼痛，甚至感觉肢体已经和自己本身无关了。人也是如此，宇宙万物就好比我们的四肢，我们不知义理也便就是不识痛痒，便也就是不仁了。不识痛痒是不仁，但是识痛痒也不一定是仁，识痛痒只是仁的一个必要条件，而不能是充分条件。</w:t>
      </w:r>
      <w:r>
        <w:rPr>
          <w:rStyle w:val="a8"/>
          <w:rFonts w:ascii="宋体" w:eastAsia="宋体" w:hAnsi="宋体"/>
          <w:sz w:val="24"/>
          <w:szCs w:val="24"/>
        </w:rPr>
        <w:footnoteReference w:id="27"/>
      </w:r>
      <w:r>
        <w:rPr>
          <w:rFonts w:ascii="宋体" w:eastAsia="宋体" w:hAnsi="宋体" w:hint="eastAsia"/>
          <w:sz w:val="24"/>
          <w:szCs w:val="24"/>
        </w:rPr>
        <w:t>我们不仅要感受到宇宙万物就是如同我们四肢一般的存在，还要学会爱护它，我们要像不会伤害自己的四肢一样保护这个万物。所以这也就意味着我们在理解明道所说“仁是识痛痒”的时候要知道这不是在生理层面上简单的身体感受，而且切实蕴含在内心的心理感受，我们要把万物作为一种心理感受去知觉。这也就是仁心的境界，是人之为人的本质，也是圣人的境界。</w:t>
      </w:r>
      <w:r>
        <w:rPr>
          <w:rStyle w:val="a8"/>
          <w:rFonts w:ascii="宋体" w:eastAsia="宋体" w:hAnsi="宋体"/>
          <w:sz w:val="24"/>
          <w:szCs w:val="24"/>
        </w:rPr>
        <w:footnoteReference w:id="28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天地万物本来就是一体的，人自然也是天地万物，和其他的天地万物相同，不应该明确地作出区分。我们爱一切万物，不应该只爱“小人”眼中的不甚明确的自我。个体作为宇宙万物中的一员，应该给所有事物广泛而平等的仁爱、仁心。就如同我们的肢体被按摩、被爱护会很舒服一样，我们爱护天地万物，万物也会感到舒适，而万物感到舒适，反到我们个人也会觉得很快乐。我们和天地万物休戚相关，有复杂且难以割舍的内在联系，这个联系使我们能够完全不可分地成为一个有机整体，那么万物也就是我的有机组成部分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人如果把万物当作身外之物，，与己不相干，建立人与万物的主客体对立，觉得内是内，外是外，自己是自己，万物是万物，主观是主观，客观是客观，就好比手足不仁，不是我身体的一部分，就无法达到仁的境界。</w:t>
      </w:r>
      <w:r>
        <w:rPr>
          <w:rStyle w:val="a8"/>
          <w:rFonts w:ascii="宋体" w:eastAsia="宋体" w:hAnsi="宋体"/>
          <w:sz w:val="24"/>
          <w:szCs w:val="24"/>
        </w:rPr>
        <w:footnoteReference w:id="29"/>
      </w:r>
      <w:r>
        <w:rPr>
          <w:rFonts w:ascii="宋体" w:eastAsia="宋体" w:hAnsi="宋体" w:hint="eastAsia"/>
          <w:sz w:val="24"/>
          <w:szCs w:val="24"/>
        </w:rPr>
        <w:t xml:space="preserve">就如同孟子所说“万物皆备于我”，这不是说我在客观上已经成就了万物，我在客观上就是真实的万物，而是说在主观上的一种内心的理解万物。我能在精神世界中感受到万物与我为一，无所谓万物无所谓个人，一切都融会贯通，无需多言，这就是我内心最真实的感受。 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程颢以万物同体论仁是指出仁的境界的内涵意义，而以知觉论仁，则是指出仁作为境界的感受形式。</w:t>
      </w:r>
      <w:r>
        <w:rPr>
          <w:rStyle w:val="a8"/>
          <w:rFonts w:ascii="宋体" w:eastAsia="宋体" w:hAnsi="宋体"/>
          <w:sz w:val="24"/>
          <w:szCs w:val="24"/>
        </w:rPr>
        <w:footnoteReference w:id="30"/>
      </w:r>
    </w:p>
    <w:p w:rsidR="000867C9" w:rsidRDefault="000867C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0867C9" w:rsidRDefault="00682DEE">
      <w:pPr>
        <w:rPr>
          <w:rFonts w:ascii="宋体" w:eastAsia="宋体" w:hAnsi="宋体"/>
          <w:b/>
          <w:sz w:val="28"/>
          <w:szCs w:val="28"/>
        </w:rPr>
      </w:pPr>
      <w:bookmarkStart w:id="10" w:name="_Toc480307679"/>
      <w:r>
        <w:rPr>
          <w:rFonts w:ascii="宋体" w:eastAsia="宋体" w:hAnsi="宋体" w:hint="eastAsia"/>
          <w:b/>
          <w:sz w:val="28"/>
          <w:szCs w:val="28"/>
        </w:rPr>
        <w:t>2、</w:t>
      </w:r>
      <w:r w:rsidR="00F60FF0">
        <w:rPr>
          <w:rFonts w:ascii="宋体" w:eastAsia="宋体" w:hAnsi="宋体" w:hint="eastAsia"/>
          <w:b/>
          <w:sz w:val="28"/>
          <w:szCs w:val="28"/>
        </w:rPr>
        <w:t>上蔡的继承：“</w:t>
      </w:r>
      <w:r>
        <w:rPr>
          <w:rFonts w:ascii="宋体" w:eastAsia="宋体" w:hAnsi="宋体" w:hint="eastAsia"/>
          <w:b/>
          <w:sz w:val="28"/>
          <w:szCs w:val="28"/>
        </w:rPr>
        <w:t>仁是识痛痒</w:t>
      </w:r>
      <w:bookmarkEnd w:id="10"/>
      <w:r w:rsidR="00F60FF0">
        <w:rPr>
          <w:rFonts w:ascii="宋体" w:eastAsia="宋体" w:hAnsi="宋体" w:hint="eastAsia"/>
          <w:b/>
          <w:sz w:val="28"/>
          <w:szCs w:val="28"/>
        </w:rPr>
        <w:t>”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上蔡虽然师承二程，但他的思想还是与大程，也就是程颢更为接近。尤其是在以知觉论仁方面，上蔡在程颢的以知觉论仁的基础上有了进一步的发挥。明道将人体对痛痒的感受与仁联系起来，认为“人以不知觉不认义理为不仁”，上蔡继此观点之后明确提出了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仁是四肢不仁之仁，不仁是不识痛痒，仁是识痛痒。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31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但在上蔡以知觉论仁之前，他的以生意论仁为此奠定了基础。因为在传统哲学中，“仁”都有一种生命力的体现，上蔡也曾对此有过表述：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活者为仁，死者为不仁。今人身体麻痹不知痛痒谓之不仁，桃杏之核可种而生者谓之桃仁杏仁，言有生之意。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32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谢良佐认为活者如果身体麻痹则为不仁，死者无知无觉亦为不仁，那么可否说他认为如果麻木不仁地活着，就和死去没有差别了呢？他举桃核杏核之例来说仁生之意涵，说能生长出更多树苗，带来更多生意的核为仁。按照上蔡的观点，自然界的“生生之理”，实际上是构成生命本质的潜能，在其无限发展中，潜能转变为动能，并在人的生命中得到实现，即人之所以为人之仁。</w:t>
      </w:r>
      <w:r>
        <w:rPr>
          <w:rStyle w:val="a8"/>
          <w:rFonts w:ascii="宋体" w:eastAsia="宋体" w:hAnsi="宋体"/>
          <w:sz w:val="24"/>
          <w:szCs w:val="24"/>
        </w:rPr>
        <w:footnoteReference w:id="33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上蔡接着说道：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心有所觉谓之仁。仁则心与事为一。草木五谷之实谓之仁，取名于生也。……四肢之偏痹谓之不仁，取名于不知觉也。……事有感而随之以喜怒哀乐，应之以酬酢尽变者，非知觉不能也。身与事接，而心漠然不省者，与四体不仁无异也。……此善学者所以急急于求仁也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34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这段话更加深刻地说明了内心与万物联系的重要性。程颢是把“知觉”、把“觉”与仁几乎对等起来，但是谢良佐对此有了更进一步的发挥，他将“觉”和“仁”互训，将“觉”提升到了本体论的高度。</w:t>
      </w:r>
      <w:r>
        <w:rPr>
          <w:rStyle w:val="a8"/>
          <w:rFonts w:ascii="宋体" w:eastAsia="宋体" w:hAnsi="宋体"/>
          <w:sz w:val="24"/>
          <w:szCs w:val="24"/>
        </w:rPr>
        <w:footnoteReference w:id="35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他认为仁是心与事的统一，当我只是单纯地将身体与万物联系起来，那么并不能到达“仁”，我们必须要从内心深处与世间万物产生联系。仅仅是因为外事外物而产生的瞬发的喜怒哀乐各种情感，并不能说是真正的“仁”，虽然这的确是我内心的感受，并且是与万物联系起来的感受。我们要求仁，不能仅仅是说我知道了如此是仁便足矣，还要切实做到此等程度。我仅仅是知道一些道理是不能说学会甚至完成了的，我们必须去以身心去融入其中，切实体会当中的很多不可言语的情境，也许才能够道一句完成了的。</w:t>
      </w:r>
    </w:p>
    <w:p w:rsidR="000867C9" w:rsidRDefault="000867C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0867C9" w:rsidRDefault="00682DEE">
      <w:pPr>
        <w:rPr>
          <w:rFonts w:ascii="宋体" w:eastAsia="宋体" w:hAnsi="宋体"/>
          <w:b/>
          <w:sz w:val="28"/>
          <w:szCs w:val="28"/>
        </w:rPr>
      </w:pPr>
      <w:bookmarkStart w:id="11" w:name="_Toc480307680"/>
      <w:r>
        <w:rPr>
          <w:rFonts w:ascii="宋体" w:eastAsia="宋体" w:hAnsi="宋体" w:hint="eastAsia"/>
          <w:b/>
          <w:sz w:val="28"/>
          <w:szCs w:val="28"/>
        </w:rPr>
        <w:t>3、</w:t>
      </w:r>
      <w:bookmarkEnd w:id="11"/>
      <w:r w:rsidR="00F60FF0" w:rsidRPr="00F60FF0">
        <w:rPr>
          <w:rFonts w:ascii="宋体" w:eastAsia="宋体" w:hAnsi="宋体" w:hint="eastAsia"/>
          <w:b/>
          <w:sz w:val="28"/>
          <w:szCs w:val="28"/>
        </w:rPr>
        <w:t>朱子的反思：反对以知觉论仁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朱子认为上蔡的“以知觉论仁”中的“知觉”指的是身体上的单纯知觉，“正谓知寒暖饱恶之类尔，推而至于酬蚱佑神”</w:t>
      </w:r>
      <w:r>
        <w:rPr>
          <w:rStyle w:val="a8"/>
          <w:rFonts w:ascii="宋体" w:eastAsia="宋体" w:hAnsi="宋体"/>
          <w:sz w:val="24"/>
          <w:szCs w:val="24"/>
        </w:rPr>
        <w:footnoteReference w:id="36"/>
      </w:r>
      <w:r>
        <w:rPr>
          <w:rFonts w:ascii="宋体" w:eastAsia="宋体" w:hAnsi="宋体" w:hint="eastAsia"/>
          <w:sz w:val="24"/>
          <w:szCs w:val="24"/>
        </w:rPr>
        <w:t>，朱子认为心是人的知觉，而人心有善有恶，“或问心有善恶否？曰：心是动底事物，自然有善恶。”</w:t>
      </w:r>
      <w:r>
        <w:rPr>
          <w:rStyle w:val="a8"/>
          <w:rFonts w:ascii="宋体" w:eastAsia="宋体" w:hAnsi="宋体"/>
          <w:sz w:val="24"/>
          <w:szCs w:val="24"/>
        </w:rPr>
        <w:footnoteReference w:id="37"/>
      </w:r>
      <w:r>
        <w:rPr>
          <w:rFonts w:ascii="宋体" w:eastAsia="宋体" w:hAnsi="宋体" w:hint="eastAsia"/>
          <w:sz w:val="24"/>
          <w:szCs w:val="24"/>
        </w:rPr>
        <w:t>那么就不能单纯地以知觉来言仁，因为在朱子看来知觉也是分善恶的，如若是恶的知觉，便不能认为它是仁了。人的一切行为都是由心生发出来的，心不可测，但要分其善恶，善的思绪念头是心，恶的思绪念头也是心，但恶的知觉不可为仁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朱子把仁解释为 “心之德，爱之理”，反对对仁的玄妙理解：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知觉便是心之德。仁只是爱底道理，此所以为心之德。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38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说仁有知觉是因为知觉属于“智之端”。仁包义礼智，智是仁的一部分，故仁包知觉。但以知觉说仁则不可，“知觉自是智之事，在四德是贞字，而智之所以近乎仁者，便是四德循环处，若无这智，便起仁不得。”</w:t>
      </w:r>
      <w:r>
        <w:rPr>
          <w:rStyle w:val="a8"/>
          <w:rFonts w:ascii="宋体" w:eastAsia="宋体" w:hAnsi="宋体"/>
          <w:sz w:val="24"/>
          <w:szCs w:val="24"/>
        </w:rPr>
        <w:footnoteReference w:id="39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朱子认为：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觉者是要觉得个道理，须是分毫不差,方能全得此心之德,这便是仁。若但知得个痛痒,则凡人皆觉得,岂尽是仁者耶？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40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他反对一切以知觉和意识活动都为道德意识活动</w:t>
      </w:r>
      <w:r>
        <w:rPr>
          <w:rStyle w:val="a8"/>
          <w:rFonts w:ascii="宋体" w:eastAsia="宋体" w:hAnsi="宋体"/>
          <w:sz w:val="24"/>
          <w:szCs w:val="24"/>
        </w:rPr>
        <w:footnoteReference w:id="41"/>
      </w:r>
      <w:r>
        <w:rPr>
          <w:rFonts w:ascii="宋体" w:eastAsia="宋体" w:hAnsi="宋体" w:hint="eastAsia"/>
          <w:sz w:val="24"/>
          <w:szCs w:val="24"/>
        </w:rPr>
        <w:t>，如果说知痛痒就是仁的话，岂不是人人都是仁者，都是圣人了？所以仁者不仅要知痛痒，还要认清知痛痒的道理，并且得德，才可谓不是只在生理上简单地知痛痒。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但是我认为上蔡其“知痛痒”的意涵也不仅仅是简单的肢体意味，他也同样强调在精神上感知万物，但朱子的说法更加明确。朱子明确划分了知觉的善恶，阐释了到达仁之境界的困难，不是人人简单地感知就能成仁的。我们必须深刻认识宇宙的万物，深切感知它们的存在与变化，才可谓真正地成为仁者。</w:t>
      </w:r>
    </w:p>
    <w:p w:rsidR="000867C9" w:rsidRDefault="000867C9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0867C9" w:rsidRDefault="00682DEE">
      <w:pPr>
        <w:pStyle w:val="1"/>
        <w:rPr>
          <w:sz w:val="32"/>
        </w:rPr>
      </w:pPr>
      <w:bookmarkStart w:id="12" w:name="_Toc480307681"/>
      <w:r>
        <w:rPr>
          <w:rFonts w:hint="eastAsia"/>
        </w:rPr>
        <w:t>三、以生意论仁</w:t>
      </w:r>
      <w:bookmarkEnd w:id="12"/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如果说明道思想中精神境界的仁，其意义为万物一体，那么，他的思想中作为宇宙原理的仁，其意义是“生生不息”。</w:t>
      </w:r>
      <w:r>
        <w:rPr>
          <w:rStyle w:val="a8"/>
          <w:rFonts w:ascii="宋体" w:eastAsia="宋体" w:hAnsi="宋体"/>
          <w:sz w:val="24"/>
          <w:szCs w:val="24"/>
        </w:rPr>
        <w:footnoteReference w:id="42"/>
      </w:r>
      <w:r>
        <w:rPr>
          <w:rFonts w:ascii="宋体" w:eastAsia="宋体" w:hAnsi="宋体" w:hint="eastAsia"/>
          <w:sz w:val="24"/>
          <w:szCs w:val="24"/>
        </w:rPr>
        <w:t>程颢曾言：“万物之生意最可观”，程颢关注自然界欣欣向荣的生命之力，充满了生命力的宇宙便是天地给予万物的生之大德。</w:t>
      </w:r>
    </w:p>
    <w:p w:rsidR="000867C9" w:rsidRDefault="00682DEE">
      <w:pPr>
        <w:rPr>
          <w:rFonts w:ascii="宋体" w:eastAsia="宋体" w:hAnsi="宋体"/>
          <w:b/>
          <w:sz w:val="28"/>
          <w:szCs w:val="28"/>
        </w:rPr>
      </w:pPr>
      <w:bookmarkStart w:id="13" w:name="_Toc480307682"/>
      <w:r>
        <w:rPr>
          <w:rFonts w:ascii="宋体" w:eastAsia="宋体" w:hAnsi="宋体" w:hint="eastAsia"/>
          <w:b/>
          <w:sz w:val="28"/>
          <w:szCs w:val="28"/>
        </w:rPr>
        <w:t>1、</w:t>
      </w:r>
      <w:r w:rsidR="00F60FF0">
        <w:rPr>
          <w:rFonts w:ascii="宋体" w:eastAsia="宋体" w:hAnsi="宋体" w:hint="eastAsia"/>
          <w:b/>
          <w:sz w:val="28"/>
          <w:szCs w:val="28"/>
        </w:rPr>
        <w:t>明道谈</w:t>
      </w:r>
      <w:r>
        <w:rPr>
          <w:rFonts w:ascii="宋体" w:eastAsia="宋体" w:hAnsi="宋体" w:hint="eastAsia"/>
          <w:b/>
          <w:sz w:val="28"/>
          <w:szCs w:val="28"/>
        </w:rPr>
        <w:t>生生不息</w:t>
      </w:r>
      <w:bookmarkEnd w:id="13"/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我们的宇宙充满了勃勃的生机，人类、动物、植物能展现出盎然的生意的最终的依据是什么呢？我认为是宇宙之仁，是天之仁。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天地之大德曰生。天地氤氲，万物化醇。……万物之生意最可观，此元者善之长也，斯所谓仁也。人与天地万物一体也。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43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程颢看来，生生就是天地赠予我们最珍贵的礼物，我们每一个生命降临于世都是世界对我们的爱，我们出现并持续存在的原因就是天地的仁，亲人的爱。在一个婴孩出世，一颗幼苗破土，天地的仁善就已经下贯于世了。无论是道家所说“天地不仁，以万物为刍狗”，还是儒家历代先贤以至程颢的“人与天地万物一体”，其实都说明了天地的生生仁爱之心。道家所说的天地的不仁，又何尝不是一种仁呢。天地无所偏爱，我们存在于宇宙之中无所依靠，祖先凭借高于其他生物的智慧，用艰难的斗争换来我们如今对这个世界的领导权。天地对万物无所偏爱，但它赐予了所有生命生的权利和希望，一切都看似无所依凭，却不知吾身吾命便已是多少人求而不得之物了。凭着一身浩然正气，在天地氤氲之间，万物化生之际，我们不知不识仁善，才是莫大的罪恶。我一个人在路上，摒弃周遭的繁杂，不去想他人给我的关爱，只是自由地呼吸着，放肆地微笑着，时而奔跑时而跳跃，这就是天地大德大化的流行。我可以有充足的氧气，健康的身体，快乐的灵魂，满足的精神以及那前方不断延伸的道路。如今我们想要的东西太多了，却早已忘记自己拥有什么，“万物之生意最可观，此元者善之长也，斯所谓仁也”，程颢赋予充满无限生机、洋溢盎然生意的整体宇宙以仁之意涵，此整体宇宙又以其所展现的无限生机、盎然生意诊释着仁的意涵，亦成为仁的基本存在和展现的方式。</w:t>
      </w:r>
      <w:r>
        <w:rPr>
          <w:rStyle w:val="a8"/>
          <w:rFonts w:ascii="宋体" w:eastAsia="宋体" w:hAnsi="宋体"/>
          <w:sz w:val="24"/>
          <w:szCs w:val="24"/>
        </w:rPr>
        <w:footnoteReference w:id="44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程颢认为万物的生意也就是仁，人就是与天地一体的所在。天地氤氲，万物化生，创造不已，宇宙即连绵不绝的生生之流，万物皆长养与生机之中，万物同秉此生机以为自性，而宇宙乃为一生生大流，宇宙处处生趣洋溢、生意流行。</w:t>
      </w:r>
      <w:r>
        <w:rPr>
          <w:rStyle w:val="a8"/>
          <w:rFonts w:ascii="宋体" w:eastAsia="宋体" w:hAnsi="宋体"/>
          <w:sz w:val="24"/>
          <w:szCs w:val="24"/>
        </w:rPr>
        <w:footnoteReference w:id="45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张九成曾说：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明道书窗前有茂草覆砌，或劝之荃，曰：“不可！欲常见造物生意。”又置盆池畜小鱼数尾，时时观之，或问其故，曰：“欲观万物自得意。”草之与鱼，人所共见，唯明道见草则知生意，见鱼则知自得意，此岂流俗之见可同日而语！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46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明道书窗前有草生长过于茂盛，有人劝他把它们除去，明道说不可除去，因为要以观草木的生长来感受宇宙的造物之意。又养几尾小鱼来观赏万物的自得之意。由此张九成也发出明道不落于流俗的感慨，确实如此，我们日常看花草虫鱼，至多是欣赏它们的美丽姿态，却从未想过他们的生命是如何自在，生机又是如此旺盛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由此可以看出明道很善于关注生活中的细节，可以在虽然只如草、鱼这类在常人看来无关紧要的小物之上，感受到天地宇宙的生生仁意。我们也应该尽量去学习，去感受、体会世间万物的生意。在我们这不算绵长也不知终点的生命中，有太多的过客也有太多的永恒。就如同《庄子·逍遥游》中的朝菌与彭祖，我们也许是朝菌生命中的彭祖，也有可能是彭祖生命中的朝菌，但我们不必悲伤也不必欣喜。生命之长不一定是乐，生命之短也非苦不可言，如苏子所说的“自其不变者而观之，则物与我皆无尽也”，我们都存在与这生机勃勃的宇宙天地之中，万物皆由生生仁意所化，我的生命和他的生命都是等同的，只要天地还在，生命还在，那么我也就还在，他也就还在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每年四季交替，每天日升月落，每分每秒时间流转，如水般不舍昼夜，但这些都在天地的规律之中变幻。上一秒的我们已经不是这一秒的我们，但这天地还是这天地，万物还是这万物，在这生机之中自然生长，也自然凋敝。当我存在在这里我是一个能被自己和他人所意识到的生命体，当我个体的身体至于生命走到尽头于我而言我不在了，但于宇宙而言，于万物而言，我只是换了一个存在的方式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关于人心之仁，程颢认为不仅万物的生命是宇宙生生仁爱的体现，心之仁也是宇宙生生的体现。天地化生万物仁意，我们处于这个生意盎然的世界，自是存有一颗关乎仁的心。仁是本性而并非情感，我们因仁而生，个体的消亡也是仁之规律，在此间自然生发出仁爱之心。我们在天地间与万物共生，仁意充沛萦绕在我们之间，自是应该互相关爱，无所伤害。</w:t>
      </w:r>
    </w:p>
    <w:p w:rsidR="000867C9" w:rsidRDefault="000867C9">
      <w:pPr>
        <w:rPr>
          <w:rFonts w:ascii="宋体" w:eastAsia="宋体" w:hAnsi="宋体"/>
          <w:b/>
          <w:sz w:val="28"/>
          <w:szCs w:val="28"/>
        </w:rPr>
      </w:pPr>
      <w:bookmarkStart w:id="14" w:name="_Toc480307683"/>
    </w:p>
    <w:p w:rsidR="000867C9" w:rsidRDefault="00682DEE">
      <w:pPr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2、</w:t>
      </w:r>
      <w:bookmarkEnd w:id="14"/>
      <w:r w:rsidR="00F60FF0" w:rsidRPr="00F60FF0">
        <w:rPr>
          <w:rFonts w:ascii="宋体" w:eastAsia="宋体" w:hAnsi="宋体" w:hint="eastAsia"/>
          <w:b/>
          <w:sz w:val="28"/>
          <w:szCs w:val="28"/>
        </w:rPr>
        <w:t>对朱子的影响：“天地以生物为心”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朱子在《中庸章句》中说：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仁者天地生物之心，而人得以生者，所谓“元者善之长也”。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47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在《仁说》中也说道：</w:t>
      </w:r>
    </w:p>
    <w:p w:rsidR="000867C9" w:rsidRPr="000B2B60" w:rsidRDefault="00682DEE">
      <w:pPr>
        <w:spacing w:beforeLines="100" w:before="312" w:afterLines="100" w:after="312"/>
        <w:ind w:leftChars="200" w:left="420" w:rightChars="200" w:right="420" w:firstLineChars="200" w:firstLine="480"/>
        <w:rPr>
          <w:rFonts w:ascii="楷体" w:eastAsia="楷体" w:hAnsi="楷体"/>
          <w:sz w:val="24"/>
          <w:szCs w:val="24"/>
        </w:rPr>
      </w:pPr>
      <w:r w:rsidRPr="000B2B60">
        <w:rPr>
          <w:rFonts w:ascii="楷体" w:eastAsia="楷体" w:hAnsi="楷体" w:hint="eastAsia"/>
          <w:sz w:val="24"/>
          <w:szCs w:val="24"/>
        </w:rPr>
        <w:t>天地以生物为心者也，而人物之生，又各得夫天地之心以为心者也，故语心之德，虽其总摄贯通无所不备，然一言以蔽之，则曰仁而已矣。……盖天地之心，其德有四，曰元亨利贞，而元无不统；其运行焉，则为春夏秋冬之序，而春生之气无所不通。故人之为心，其德亦有四，曰仁义礼智，而仁无不包；其发用焉，则为爱恭宜别之情，而恻隐之心无所不贯。……此心何心也？在天地则怏然生物之心，在人则温然爱人利物之心，包四德而贯四端者也。</w:t>
      </w:r>
      <w:r w:rsidRPr="000B2B60">
        <w:rPr>
          <w:rStyle w:val="a8"/>
          <w:rFonts w:ascii="楷体" w:eastAsia="楷体" w:hAnsi="楷体"/>
          <w:sz w:val="24"/>
          <w:szCs w:val="24"/>
        </w:rPr>
        <w:footnoteReference w:id="48"/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“生”字是朱熹心说的基本前提和出发点，也是说明朱子哲学和儒家哲学是生命哲学的核心概念。</w:t>
      </w:r>
      <w:r>
        <w:rPr>
          <w:rStyle w:val="a8"/>
          <w:rFonts w:ascii="宋体" w:eastAsia="宋体" w:hAnsi="宋体"/>
          <w:sz w:val="24"/>
          <w:szCs w:val="24"/>
        </w:rPr>
        <w:footnoteReference w:id="49"/>
      </w:r>
      <w:r>
        <w:rPr>
          <w:rFonts w:ascii="宋体" w:eastAsia="宋体" w:hAnsi="宋体" w:hint="eastAsia"/>
          <w:sz w:val="24"/>
          <w:szCs w:val="24"/>
        </w:rPr>
        <w:t>朱熹认为，天地把创生万物当作心，而人与万物的创生，又是各自得到天地的生物之心来作为自己的心的，所以说心之德为仁。朱子在此也说明了生与仁、仁与爱的关系，即生是仁的基础，仁是爱的人性依据，爱是仁的情感表现。</w:t>
      </w:r>
      <w:r>
        <w:rPr>
          <w:rStyle w:val="a8"/>
          <w:rFonts w:ascii="宋体" w:eastAsia="宋体" w:hAnsi="宋体"/>
          <w:sz w:val="24"/>
          <w:szCs w:val="24"/>
        </w:rPr>
        <w:footnoteReference w:id="50"/>
      </w:r>
      <w:r>
        <w:rPr>
          <w:rFonts w:ascii="宋体" w:eastAsia="宋体" w:hAnsi="宋体" w:hint="eastAsia"/>
          <w:sz w:val="24"/>
          <w:szCs w:val="24"/>
        </w:rPr>
        <w:t>天地之德为元亨利贞，元为首；天地运行的法则有春夏秋冬之序，春生夏长秋收冬藏，生命轮回永不止息。人心也有仁义礼智四德，仁为其首无所不包。那么仁心就是天地的怏然生物之心，就是人的爱人利物之心。这也是朱子所独到，与二程不同之处，朱子认为二程以前大家谈仁，都离不开爱；而二程之后大家都不再谈爱，而只是在理性角度谈仁了，这也缺少了一定的人性关怀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朱熹也对仁有相对完整的表述：“仁者，爱之理，心之德也。”</w:t>
      </w:r>
      <w:r>
        <w:rPr>
          <w:rStyle w:val="a8"/>
          <w:rFonts w:ascii="宋体" w:eastAsia="宋体" w:hAnsi="宋体"/>
          <w:sz w:val="24"/>
          <w:szCs w:val="24"/>
        </w:rPr>
        <w:footnoteReference w:id="51"/>
      </w:r>
      <w:r>
        <w:rPr>
          <w:rFonts w:ascii="宋体" w:eastAsia="宋体" w:hAnsi="宋体" w:hint="eastAsia"/>
          <w:sz w:val="24"/>
          <w:szCs w:val="24"/>
        </w:rPr>
        <w:t>还有，“仁者，心之德，爱之理。”</w:t>
      </w:r>
      <w:r>
        <w:rPr>
          <w:rStyle w:val="a8"/>
          <w:rFonts w:ascii="宋体" w:eastAsia="宋体" w:hAnsi="宋体"/>
          <w:sz w:val="24"/>
          <w:szCs w:val="24"/>
        </w:rPr>
        <w:footnoteReference w:id="52"/>
      </w:r>
      <w:r>
        <w:rPr>
          <w:rFonts w:ascii="宋体" w:eastAsia="宋体" w:hAnsi="宋体" w:hint="eastAsia"/>
          <w:sz w:val="24"/>
          <w:szCs w:val="24"/>
        </w:rPr>
        <w:t>朱熹强调以爱言仁，仁是天地大德。我们得以生存与天地间，就是天地给予我们的生命。我们每个个体都有自己的父母，但是我们所有的个体都有共同的父母，那就是天地，因为天地的仁爱之心，我们生存并成长于这个阔然宇宙之中。正因为生我者有仁爱之意，我对万物才有爱护之心，天地之间万物互爱，才营造了如此融贯天地的大仁。</w:t>
      </w:r>
    </w:p>
    <w:p w:rsidR="000867C9" w:rsidRDefault="000867C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FF5684" w:rsidRDefault="00FF5684">
      <w:pPr>
        <w:pStyle w:val="1"/>
        <w:sectPr w:rsidR="00FF5684" w:rsidSect="00FF5684">
          <w:footnotePr>
            <w:numFmt w:val="decimalEnclosedCircleChinese"/>
            <w:numRestart w:val="eachPage"/>
          </w:footnote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15" w:name="_Toc480307684"/>
    </w:p>
    <w:p w:rsidR="000867C9" w:rsidRDefault="00682DEE">
      <w:pPr>
        <w:pStyle w:val="1"/>
        <w:rPr>
          <w:sz w:val="24"/>
        </w:rPr>
      </w:pPr>
      <w:r>
        <w:rPr>
          <w:rFonts w:hint="eastAsia"/>
        </w:rPr>
        <w:t>结语</w:t>
      </w:r>
      <w:bookmarkEnd w:id="15"/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color w:val="4F81BD" w:themeColor="accent1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明道仁学体系宏大，概括甚广，可谓在宋明理学史乃至儒学史上添了浓墨重彩的一笔，也是承上启下的重要思想。前承周敦颐、张载的太极与民胞物与的思想，下启谢良佐、朱熹的生生仁爱之意。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明道的仁学囊括了万物一体的天地本性，明确讲述识仁之重要性；通过论述知觉识仁让我们明白在天地间我们的感知是何等伟大；再由生意言仁，让我们知道万物共同处于这生生不息的仁爱之下。明道为我们建立了如此宏大的一个宇宙观，让我们能因此认清自己的内心与本性，体味生命的伟大与永恒。</w:t>
      </w:r>
    </w:p>
    <w:p w:rsidR="000867C9" w:rsidRDefault="00682D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儒学在中国思想史上能够一直占领主流地位，与其与时俱进的特征是脱不开关系的，历代大儒均以</w:t>
      </w:r>
      <w:r>
        <w:rPr>
          <w:rFonts w:ascii="宋体" w:eastAsia="宋体" w:hAnsi="宋体" w:hint="eastAsia"/>
          <w:sz w:val="24"/>
          <w:szCs w:val="24"/>
        </w:rPr>
        <w:t>现实为出发点</w:t>
      </w:r>
      <w:r>
        <w:rPr>
          <w:rFonts w:ascii="宋体" w:eastAsia="宋体" w:hAnsi="宋体"/>
          <w:sz w:val="24"/>
          <w:szCs w:val="24"/>
        </w:rPr>
        <w:t>，为统治者和百姓点明前方的发展方向，顺应时代的发展潮流，而对自身作出相应的改变。</w:t>
      </w:r>
      <w:r>
        <w:rPr>
          <w:rFonts w:ascii="宋体" w:eastAsia="宋体" w:hAnsi="宋体" w:hint="eastAsia"/>
          <w:sz w:val="24"/>
          <w:szCs w:val="24"/>
        </w:rPr>
        <w:t>汉唐以来儒者不求创新，桎梏</w:t>
      </w:r>
      <w:r>
        <w:rPr>
          <w:rFonts w:ascii="宋体" w:eastAsia="宋体" w:hAnsi="宋体" w:hint="eastAsia"/>
          <w:color w:val="0000FF"/>
          <w:sz w:val="24"/>
          <w:szCs w:val="24"/>
        </w:rPr>
        <w:t>于</w:t>
      </w:r>
      <w:r>
        <w:rPr>
          <w:rFonts w:ascii="宋体" w:eastAsia="宋体" w:hAnsi="宋体" w:hint="eastAsia"/>
          <w:sz w:val="24"/>
          <w:szCs w:val="24"/>
        </w:rPr>
        <w:t>前人的思想无法寻求突破，道家、佛家的日益壮大也让儒学式微。</w:t>
      </w:r>
      <w:r>
        <w:rPr>
          <w:rFonts w:ascii="宋体" w:eastAsia="宋体" w:hAnsi="宋体"/>
          <w:sz w:val="24"/>
          <w:szCs w:val="24"/>
        </w:rPr>
        <w:t>北宋初期文官武官政权矛盾尖锐，由于土地兼并，社会的矛盾也在日益加深。明道在此时构建了一个以天理与仁合二为一的宇宙体系，使儒学发展到一个新的阶段，加大了儒学的影响力，也在一定程度上缓解了社会矛盾。明道的仁学思想在历史上也占有很重要的地位，至今也仍有学习和借鉴的现代意义。</w:t>
      </w:r>
    </w:p>
    <w:p w:rsidR="000867C9" w:rsidRDefault="000867C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:rsidR="000867C9" w:rsidRDefault="000867C9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0867C9" w:rsidRDefault="000867C9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p w:rsidR="000867C9" w:rsidRDefault="000867C9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p w:rsidR="000867C9" w:rsidRDefault="000867C9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p w:rsidR="000867C9" w:rsidRDefault="000867C9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p w:rsidR="000867C9" w:rsidRDefault="000867C9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p w:rsidR="000867C9" w:rsidRDefault="000867C9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p w:rsidR="00FF5684" w:rsidRDefault="00FF5684">
      <w:pPr>
        <w:spacing w:line="360" w:lineRule="auto"/>
        <w:jc w:val="left"/>
        <w:rPr>
          <w:rStyle w:val="1Char"/>
        </w:rPr>
      </w:pPr>
      <w:bookmarkStart w:id="16" w:name="_Toc480307685"/>
    </w:p>
    <w:p w:rsidR="00FF5684" w:rsidRDefault="00FF5684">
      <w:pPr>
        <w:spacing w:line="360" w:lineRule="auto"/>
        <w:jc w:val="left"/>
        <w:rPr>
          <w:rStyle w:val="1Char"/>
        </w:rPr>
      </w:pPr>
    </w:p>
    <w:p w:rsidR="00FF5684" w:rsidRDefault="00FF5684">
      <w:pPr>
        <w:spacing w:line="360" w:lineRule="auto"/>
        <w:jc w:val="left"/>
        <w:rPr>
          <w:rStyle w:val="1Char"/>
        </w:rPr>
      </w:pPr>
    </w:p>
    <w:p w:rsidR="00FF5684" w:rsidRDefault="00FF5684">
      <w:pPr>
        <w:spacing w:line="360" w:lineRule="auto"/>
        <w:jc w:val="left"/>
        <w:rPr>
          <w:rStyle w:val="1Char"/>
        </w:rPr>
      </w:pPr>
    </w:p>
    <w:p w:rsidR="000867C9" w:rsidRDefault="00682DEE">
      <w:pPr>
        <w:spacing w:line="360" w:lineRule="auto"/>
        <w:jc w:val="left"/>
        <w:rPr>
          <w:rFonts w:ascii="宋体" w:eastAsia="宋体" w:hAnsi="宋体"/>
          <w:b/>
          <w:sz w:val="24"/>
          <w:szCs w:val="24"/>
        </w:rPr>
      </w:pPr>
      <w:r>
        <w:rPr>
          <w:rStyle w:val="1Char"/>
          <w:rFonts w:hint="eastAsia"/>
        </w:rPr>
        <w:t>参考文献</w:t>
      </w:r>
      <w:bookmarkEnd w:id="16"/>
      <w:r>
        <w:rPr>
          <w:rFonts w:ascii="宋体" w:eastAsia="宋体" w:hAnsi="宋体" w:hint="eastAsia"/>
          <w:b/>
          <w:sz w:val="24"/>
          <w:szCs w:val="24"/>
        </w:rPr>
        <w:t>：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b/>
          <w:sz w:val="24"/>
          <w:szCs w:val="24"/>
        </w:rPr>
        <w:t>古籍：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1、《庄子》，中华书局，2007年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2、（宋）张载</w:t>
      </w:r>
      <w:r>
        <w:rPr>
          <w:rFonts w:ascii="宋体" w:eastAsia="宋体" w:hAnsi="宋体" w:hint="eastAsia"/>
          <w:color w:val="0000FF"/>
          <w:sz w:val="24"/>
          <w:szCs w:val="24"/>
        </w:rPr>
        <w:t>：</w:t>
      </w:r>
      <w:r>
        <w:rPr>
          <w:rFonts w:ascii="宋体" w:eastAsia="宋体" w:hAnsi="宋体" w:hint="eastAsia"/>
          <w:sz w:val="24"/>
          <w:szCs w:val="24"/>
        </w:rPr>
        <w:t>《张载集》，中华书局，1978年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3、（宋）程颢、程颐，《二程集》，中华书局，2004年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4、（宋）朱熹，《四书章句集注》，中华书局，2011年 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5、（宋）朱熹，《朱子全书外编》，华东师范大学出版社，2010年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6、（宋）黎靖德编，《朱子语类》，中华书局，1986年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7、（宋）朱熹，《朱子全书》，上海古籍出版社，安徽教育出版社，2002年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8、（明）王守仁，《王文成公全书》，中华书局，2015年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9、（清）黄宗羲、全望祖，《宋元学案》，中华书局，1986年</w:t>
      </w:r>
    </w:p>
    <w:p w:rsidR="000867C9" w:rsidRDefault="000867C9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0867C9" w:rsidRDefault="00682DEE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研究著作：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1、冯友兰，《中国哲学史》，</w:t>
      </w:r>
      <w:r w:rsidR="00AC4824">
        <w:rPr>
          <w:rFonts w:ascii="宋体" w:eastAsia="宋体" w:hAnsi="宋体" w:hint="eastAsia"/>
          <w:sz w:val="24"/>
          <w:szCs w:val="24"/>
        </w:rPr>
        <w:t>中华书局</w:t>
      </w:r>
      <w:r>
        <w:rPr>
          <w:rFonts w:ascii="宋体" w:eastAsia="宋体" w:hAnsi="宋体" w:hint="eastAsia"/>
          <w:sz w:val="24"/>
          <w:szCs w:val="24"/>
        </w:rPr>
        <w:t>，201</w:t>
      </w:r>
      <w:r w:rsidR="00AC4824">
        <w:rPr>
          <w:rFonts w:ascii="宋体" w:eastAsia="宋体" w:hAnsi="宋体" w:hint="eastAsia"/>
          <w:sz w:val="24"/>
          <w:szCs w:val="24"/>
        </w:rPr>
        <w:t>4</w:t>
      </w:r>
      <w:r>
        <w:rPr>
          <w:rFonts w:ascii="宋体" w:eastAsia="宋体" w:hAnsi="宋体" w:hint="eastAsia"/>
          <w:sz w:val="24"/>
          <w:szCs w:val="24"/>
        </w:rPr>
        <w:t>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2、冯友兰，《中国哲学简史》,北京大学出版社，2013年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3、牟宗三，《心体与性体》，上海古籍出版社，1999年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4、蔡仁厚，《王阳明哲学》，九州出版社，2013年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5、余英时，《士与中国文化》，上海人民出版社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6、蒙培元，《朱熹哲学十论》，中国人民大学出版社，2010年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7、陈来，《朱子哲学研究》，三联书店，2010年</w:t>
      </w:r>
    </w:p>
    <w:p w:rsidR="000867C9" w:rsidRDefault="00682DE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8、陈来，《仁学本体论》，三联书店，2014年</w:t>
      </w:r>
    </w:p>
    <w:p w:rsidR="000867C9" w:rsidRDefault="00682DEE">
      <w:pPr>
        <w:spacing w:line="360" w:lineRule="auto"/>
        <w:ind w:left="480" w:hangingChars="200" w:hanging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9、陈立胜，《王阳明“万物一体”论——从“身—体”的立场看》，华东师范大学出版社，2008年</w:t>
      </w:r>
    </w:p>
    <w:p w:rsidR="000867C9" w:rsidRDefault="00682DEE">
      <w:pPr>
        <w:spacing w:line="360" w:lineRule="auto"/>
        <w:ind w:left="480" w:hangingChars="200" w:hanging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10、郭晓东，《识仁与定性——工夫论视域下的程明道哲学研究》，复旦大学出版社，2006年</w:t>
      </w:r>
    </w:p>
    <w:p w:rsidR="000867C9" w:rsidRDefault="000867C9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0867C9" w:rsidRDefault="00682DEE">
      <w:pPr>
        <w:spacing w:line="360" w:lineRule="auto"/>
        <w:jc w:val="left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期刊：</w:t>
      </w:r>
    </w:p>
    <w:p w:rsidR="000867C9" w:rsidRDefault="00682DEE">
      <w:pPr>
        <w:spacing w:line="360" w:lineRule="auto"/>
        <w:ind w:left="240" w:hangingChars="100" w:hanging="24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1、白奚，《从孟子到程、朱——儒家仁学的诠释与历史发展》，《首都师范大学学报》，2003（6）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2、邹新、赵建功，《论孔子的仁学》，《重庆工学院学报》，2004（4）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3、李韦，《仁者浑然与物同体——程颢的生态哲学面向》，《兰州学刊》，2012（1）</w:t>
      </w:r>
    </w:p>
    <w:p w:rsidR="000867C9" w:rsidRDefault="00682DEE">
      <w:pPr>
        <w:spacing w:line="360" w:lineRule="auto"/>
        <w:ind w:left="480" w:hangingChars="200" w:hanging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4、曾振宇，《“仁者安仁”：儒家仁学源起与道德形上学建构——儒家仁学从孔子到董仲舒的哲学演进》，《中国文化研究》，2014春之卷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5、杨孝青，《基于创造视角的中国新哲学建设研究》，《理论月刊》，2015（2）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6、冯浩菲，《孟子对孔子仁学的捍卫与发扬》，《理论学刊》，2015（12）</w:t>
      </w:r>
    </w:p>
    <w:p w:rsidR="000867C9" w:rsidRDefault="000867C9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p w:rsidR="000867C9" w:rsidRDefault="00682DEE">
      <w:pPr>
        <w:spacing w:line="360" w:lineRule="auto"/>
        <w:jc w:val="left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学位论文：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1、谢寒枫，《程颢哲学研究》，中国社会科学院研究生院博士学位论文，2002年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2、高会霞，《朱熹仁学思想研究》，河南大学硕士学位论文，2003年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3、邹新，《论孔子的仁学》，华中科技大学硕士学位论文，2005年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4、王光红，《谢良佐仁学思想研究》，湘潭大学硕士学位论文，2008年</w:t>
      </w:r>
    </w:p>
    <w:p w:rsidR="000867C9" w:rsidRDefault="00682DE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5、温磊，《程颢仁学思想研究》，山东大学硕士学位论文，2010年</w:t>
      </w:r>
    </w:p>
    <w:p w:rsidR="000867C9" w:rsidRDefault="00682DEE">
      <w:pPr>
        <w:spacing w:line="360" w:lineRule="auto"/>
        <w:ind w:left="240" w:hangingChars="100" w:hanging="24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6、白云方，《“易体神用”视角下的程颢仁学思想研究》，郑州大学硕士学位论文，2013年</w:t>
      </w:r>
    </w:p>
    <w:p w:rsidR="000867C9" w:rsidRDefault="000867C9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p w:rsidR="000867C9" w:rsidRDefault="000867C9">
      <w:pPr>
        <w:spacing w:line="360" w:lineRule="auto"/>
        <w:rPr>
          <w:rFonts w:ascii="宋体" w:eastAsia="宋体" w:hAnsi="宋体"/>
          <w:sz w:val="24"/>
          <w:szCs w:val="24"/>
        </w:rPr>
      </w:pPr>
    </w:p>
    <w:sectPr w:rsidR="000867C9" w:rsidSect="00FF5684">
      <w:footnotePr>
        <w:numFmt w:val="decimalEnclosedCircleChinese"/>
        <w:numRestart w:val="eachPage"/>
      </w:footnotePr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39F" w:rsidRDefault="00D3139F">
      <w:r>
        <w:separator/>
      </w:r>
    </w:p>
  </w:endnote>
  <w:endnote w:type="continuationSeparator" w:id="0">
    <w:p w:rsidR="00D3139F" w:rsidRDefault="00D31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7C9" w:rsidRDefault="000867C9">
    <w:pPr>
      <w:pStyle w:val="a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7C9" w:rsidRDefault="00682DEE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F758A2" w:rsidRPr="00F758A2">
      <w:rPr>
        <w:noProof/>
        <w:lang w:val="zh-CN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39F" w:rsidRDefault="00D3139F">
      <w:r>
        <w:separator/>
      </w:r>
    </w:p>
  </w:footnote>
  <w:footnote w:type="continuationSeparator" w:id="0">
    <w:p w:rsidR="00D3139F" w:rsidRDefault="00D3139F">
      <w:r>
        <w:continuationSeparator/>
      </w:r>
    </w:p>
  </w:footnote>
  <w:footnote w:id="1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邹新、赵建功</w:t>
      </w:r>
      <w:r>
        <w:rPr>
          <w:rFonts w:hint="eastAsia"/>
          <w:color w:val="0000FF"/>
        </w:rPr>
        <w:t>：</w:t>
      </w:r>
      <w:r>
        <w:rPr>
          <w:rFonts w:hint="eastAsia"/>
        </w:rPr>
        <w:t>《论孔子的仁学》，《重庆工学院学报》</w:t>
      </w:r>
      <w:r>
        <w:rPr>
          <w:rFonts w:hint="eastAsia"/>
          <w:color w:val="0000FF"/>
        </w:rPr>
        <w:t>，</w:t>
      </w:r>
      <w:r>
        <w:rPr>
          <w:rFonts w:hint="eastAsia"/>
        </w:rPr>
        <w:t>2004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</w:p>
  </w:footnote>
  <w:footnote w:id="2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t>白奚，《从孟子到程、朱</w:t>
      </w:r>
      <w:r>
        <w:t>——</w:t>
      </w:r>
      <w:r>
        <w:t>儒家仁学的诠释与历史发展》，《首都师范大学学报》，</w:t>
      </w:r>
      <w:r>
        <w:rPr>
          <w:rFonts w:hint="eastAsia"/>
        </w:rPr>
        <w:t>2003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</w:p>
  </w:footnote>
  <w:footnote w:id="3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余英时，《士与中国文化》，上海人民出版社，</w:t>
      </w:r>
      <w:r>
        <w:rPr>
          <w:rFonts w:hint="eastAsia"/>
        </w:rPr>
        <w:t>1987</w:t>
      </w:r>
      <w:r>
        <w:rPr>
          <w:rFonts w:hint="eastAsia"/>
        </w:rPr>
        <w:t>年，第</w:t>
      </w:r>
      <w:r>
        <w:rPr>
          <w:rFonts w:hint="eastAsia"/>
        </w:rPr>
        <w:t>474</w:t>
      </w:r>
      <w:r>
        <w:rPr>
          <w:rFonts w:hint="eastAsia"/>
        </w:rPr>
        <w:t>页</w:t>
      </w:r>
    </w:p>
  </w:footnote>
  <w:footnote w:id="4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冯友兰，《中国哲学史》，</w:t>
      </w:r>
      <w:r w:rsidR="005A06FE">
        <w:rPr>
          <w:rFonts w:hint="eastAsia"/>
        </w:rPr>
        <w:t>中华书局</w:t>
      </w:r>
      <w:r>
        <w:rPr>
          <w:rFonts w:hint="eastAsia"/>
        </w:rPr>
        <w:t>，</w:t>
      </w:r>
      <w:r>
        <w:rPr>
          <w:rFonts w:hint="eastAsia"/>
        </w:rPr>
        <w:t>201</w:t>
      </w:r>
      <w:r w:rsidR="00AC4824">
        <w:rPr>
          <w:rFonts w:hint="eastAsia"/>
        </w:rPr>
        <w:t>4</w:t>
      </w:r>
      <w:r>
        <w:rPr>
          <w:rFonts w:hint="eastAsia"/>
        </w:rPr>
        <w:t>年，第</w:t>
      </w:r>
      <w:r w:rsidR="00AC4824">
        <w:rPr>
          <w:rFonts w:hint="eastAsia"/>
        </w:rPr>
        <w:t>748</w:t>
      </w:r>
      <w:r>
        <w:rPr>
          <w:rFonts w:hint="eastAsia"/>
        </w:rPr>
        <w:t>页</w:t>
      </w:r>
    </w:p>
  </w:footnote>
  <w:footnote w:id="5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牟宗三，《心体与性体》，上海古籍出版社，</w:t>
      </w:r>
      <w:r>
        <w:rPr>
          <w:rFonts w:hint="eastAsia"/>
        </w:rPr>
        <w:t>1999</w:t>
      </w:r>
      <w:r>
        <w:rPr>
          <w:rFonts w:hint="eastAsia"/>
        </w:rPr>
        <w:t>年，第</w:t>
      </w:r>
      <w:r>
        <w:rPr>
          <w:rFonts w:hint="eastAsia"/>
        </w:rPr>
        <w:t>2</w:t>
      </w:r>
      <w:r>
        <w:rPr>
          <w:rFonts w:hint="eastAsia"/>
        </w:rPr>
        <w:t>页</w:t>
      </w:r>
    </w:p>
  </w:footnote>
  <w:footnote w:id="6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冯友兰，《中国哲学史》，</w:t>
      </w:r>
      <w:r w:rsidR="00AC4824">
        <w:rPr>
          <w:rFonts w:hint="eastAsia"/>
        </w:rPr>
        <w:t>中华书局</w:t>
      </w:r>
      <w:r>
        <w:rPr>
          <w:rFonts w:hint="eastAsia"/>
        </w:rPr>
        <w:t>，</w:t>
      </w:r>
      <w:r>
        <w:rPr>
          <w:rFonts w:hint="eastAsia"/>
        </w:rPr>
        <w:t>201</w:t>
      </w:r>
      <w:r w:rsidR="00AC4824">
        <w:rPr>
          <w:rFonts w:hint="eastAsia"/>
        </w:rPr>
        <w:t>4</w:t>
      </w:r>
      <w:r>
        <w:rPr>
          <w:rFonts w:hint="eastAsia"/>
        </w:rPr>
        <w:t>年，第</w:t>
      </w:r>
      <w:r w:rsidR="00AC4824">
        <w:rPr>
          <w:rFonts w:hint="eastAsia"/>
        </w:rPr>
        <w:t>761</w:t>
      </w:r>
      <w:r w:rsidR="00AC4824">
        <w:rPr>
          <w:rFonts w:hint="eastAsia"/>
        </w:rPr>
        <w:t>、</w:t>
      </w:r>
      <w:r w:rsidR="00AC4824">
        <w:rPr>
          <w:rFonts w:hint="eastAsia"/>
        </w:rPr>
        <w:t>762</w:t>
      </w:r>
      <w:r>
        <w:rPr>
          <w:rFonts w:hint="eastAsia"/>
        </w:rPr>
        <w:t>页</w:t>
      </w:r>
    </w:p>
  </w:footnote>
  <w:footnote w:id="7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t>程颢、程颐，</w:t>
      </w:r>
      <w:r>
        <w:rPr>
          <w:rFonts w:hint="eastAsia"/>
        </w:rPr>
        <w:t>《河南程氏遗书》卷二上，中华书局，</w:t>
      </w:r>
      <w:r>
        <w:rPr>
          <w:rFonts w:hint="eastAsia"/>
        </w:rPr>
        <w:t>2004</w:t>
      </w:r>
      <w:r>
        <w:rPr>
          <w:rFonts w:hint="eastAsia"/>
        </w:rPr>
        <w:t>年，第</w:t>
      </w:r>
      <w:r>
        <w:rPr>
          <w:rFonts w:hint="eastAsia"/>
        </w:rPr>
        <w:t>16</w:t>
      </w:r>
      <w:r>
        <w:rPr>
          <w:rFonts w:hint="eastAsia"/>
        </w:rPr>
        <w:t>、</w:t>
      </w:r>
      <w:r>
        <w:rPr>
          <w:rFonts w:hint="eastAsia"/>
        </w:rPr>
        <w:t>17</w:t>
      </w:r>
      <w:r>
        <w:rPr>
          <w:rFonts w:hint="eastAsia"/>
        </w:rPr>
        <w:t>页</w:t>
      </w:r>
    </w:p>
  </w:footnote>
  <w:footnote w:id="8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李韦，《仁者浑然与物同体——程颢的生态哲学面向》，《兰州学刊》，</w:t>
      </w:r>
      <w:r>
        <w:rPr>
          <w:rFonts w:hint="eastAsia"/>
        </w:rPr>
        <w:t>2012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</w:p>
  </w:footnote>
  <w:footnote w:id="9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30</w:t>
      </w:r>
      <w:r>
        <w:rPr>
          <w:rFonts w:hint="eastAsia"/>
        </w:rPr>
        <w:t>页</w:t>
      </w:r>
    </w:p>
  </w:footnote>
  <w:footnote w:id="10">
    <w:p w:rsidR="000867C9" w:rsidRDefault="00682DEE">
      <w:pPr>
        <w:rPr>
          <w:sz w:val="18"/>
          <w:szCs w:val="18"/>
        </w:rPr>
      </w:pPr>
      <w:r>
        <w:rPr>
          <w:rStyle w:val="a8"/>
        </w:rPr>
        <w:footnoteRef/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白云方，《“易体神用”视角下的程颢仁学思想研究》，郑州大学硕士学位论文</w:t>
      </w:r>
      <w:r w:rsidRPr="00642DF9">
        <w:rPr>
          <w:rFonts w:hint="eastAsia"/>
          <w:sz w:val="18"/>
          <w:szCs w:val="18"/>
        </w:rPr>
        <w:t>，</w:t>
      </w:r>
      <w:r w:rsidRPr="00642DF9">
        <w:rPr>
          <w:rFonts w:hint="eastAsia"/>
          <w:sz w:val="18"/>
          <w:szCs w:val="18"/>
        </w:rPr>
        <w:t>2013</w:t>
      </w:r>
      <w:r w:rsidRPr="00642DF9">
        <w:rPr>
          <w:rFonts w:hint="eastAsia"/>
          <w:sz w:val="18"/>
          <w:szCs w:val="18"/>
        </w:rPr>
        <w:t>年，</w:t>
      </w:r>
      <w:r>
        <w:rPr>
          <w:rFonts w:hint="eastAsia"/>
          <w:sz w:val="18"/>
          <w:szCs w:val="18"/>
        </w:rPr>
        <w:t>第</w:t>
      </w:r>
      <w:r>
        <w:rPr>
          <w:rFonts w:hint="eastAsia"/>
          <w:sz w:val="18"/>
          <w:szCs w:val="18"/>
        </w:rPr>
        <w:t>20</w:t>
      </w:r>
      <w:r>
        <w:rPr>
          <w:rFonts w:hint="eastAsia"/>
          <w:sz w:val="18"/>
          <w:szCs w:val="18"/>
        </w:rPr>
        <w:t>页</w:t>
      </w:r>
    </w:p>
  </w:footnote>
  <w:footnote w:id="11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  <w:color w:val="FF0000"/>
        </w:rPr>
        <w:t xml:space="preserve"> </w:t>
      </w:r>
      <w:r>
        <w:rPr>
          <w:rFonts w:hint="eastAsia"/>
        </w:rPr>
        <w:t>程颢、程颐，《河南程氏遗书》卷二上，中华书局，</w:t>
      </w:r>
      <w:r>
        <w:rPr>
          <w:rFonts w:hint="eastAsia"/>
        </w:rPr>
        <w:t>2004</w:t>
      </w:r>
      <w:r>
        <w:rPr>
          <w:rFonts w:hint="eastAsia"/>
        </w:rPr>
        <w:t>年，第</w:t>
      </w:r>
      <w:r>
        <w:rPr>
          <w:rFonts w:hint="eastAsia"/>
        </w:rPr>
        <w:t>14</w:t>
      </w:r>
      <w:r>
        <w:rPr>
          <w:rFonts w:hint="eastAsia"/>
        </w:rPr>
        <w:t>页</w:t>
      </w:r>
    </w:p>
  </w:footnote>
  <w:footnote w:id="12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32</w:t>
      </w:r>
      <w:r>
        <w:rPr>
          <w:rFonts w:hint="eastAsia"/>
        </w:rPr>
        <w:t>页</w:t>
      </w:r>
    </w:p>
  </w:footnote>
  <w:footnote w:id="13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  <w:color w:val="FF0000"/>
        </w:rPr>
        <w:t xml:space="preserve"> </w:t>
      </w:r>
      <w:r>
        <w:rPr>
          <w:rFonts w:hint="eastAsia"/>
        </w:rPr>
        <w:t>程颢、程颐，《河南程氏遗书》卷二上，中华书局，</w:t>
      </w:r>
      <w:r>
        <w:rPr>
          <w:rFonts w:hint="eastAsia"/>
        </w:rPr>
        <w:t>2004</w:t>
      </w:r>
      <w:r>
        <w:rPr>
          <w:rFonts w:hint="eastAsia"/>
        </w:rPr>
        <w:t>年，第</w:t>
      </w:r>
      <w:r>
        <w:rPr>
          <w:rFonts w:hint="eastAsia"/>
        </w:rPr>
        <w:t>33</w:t>
      </w:r>
      <w:r>
        <w:rPr>
          <w:rFonts w:hint="eastAsia"/>
        </w:rPr>
        <w:t>、</w:t>
      </w:r>
      <w:r>
        <w:rPr>
          <w:rFonts w:hint="eastAsia"/>
        </w:rPr>
        <w:t>34</w:t>
      </w:r>
      <w:r>
        <w:rPr>
          <w:rFonts w:hint="eastAsia"/>
        </w:rPr>
        <w:t>页</w:t>
      </w:r>
    </w:p>
  </w:footnote>
  <w:footnote w:id="14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张载，《张载集》，中华书局，</w:t>
      </w:r>
      <w:r>
        <w:rPr>
          <w:rFonts w:hint="eastAsia"/>
        </w:rPr>
        <w:t>1978</w:t>
      </w:r>
      <w:r>
        <w:rPr>
          <w:rFonts w:hint="eastAsia"/>
        </w:rPr>
        <w:t>年，第</w:t>
      </w:r>
      <w:r>
        <w:rPr>
          <w:rFonts w:hint="eastAsia"/>
        </w:rPr>
        <w:t>62</w:t>
      </w:r>
      <w:r>
        <w:rPr>
          <w:rFonts w:hint="eastAsia"/>
        </w:rPr>
        <w:t>、</w:t>
      </w:r>
      <w:r>
        <w:rPr>
          <w:rFonts w:hint="eastAsia"/>
        </w:rPr>
        <w:t>63</w:t>
      </w:r>
      <w:r>
        <w:rPr>
          <w:rFonts w:hint="eastAsia"/>
        </w:rPr>
        <w:t>页</w:t>
      </w:r>
    </w:p>
  </w:footnote>
  <w:footnote w:id="15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32</w:t>
      </w:r>
      <w:r>
        <w:rPr>
          <w:rFonts w:hint="eastAsia"/>
        </w:rPr>
        <w:t>页</w:t>
      </w:r>
    </w:p>
  </w:footnote>
  <w:footnote w:id="16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程颢、程颐，《河南程氏遗书》卷二上，中华书局，</w:t>
      </w:r>
      <w:r>
        <w:rPr>
          <w:rFonts w:hint="eastAsia"/>
        </w:rPr>
        <w:t>2004</w:t>
      </w:r>
      <w:r>
        <w:rPr>
          <w:rFonts w:hint="eastAsia"/>
        </w:rPr>
        <w:t>年，第</w:t>
      </w:r>
      <w:r>
        <w:rPr>
          <w:rFonts w:hint="eastAsia"/>
        </w:rPr>
        <w:t>15</w:t>
      </w:r>
      <w:r>
        <w:rPr>
          <w:rFonts w:hint="eastAsia"/>
        </w:rPr>
        <w:t>页</w:t>
      </w:r>
    </w:p>
  </w:footnote>
  <w:footnote w:id="17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冯友兰，《中国哲学史》，</w:t>
      </w:r>
      <w:r w:rsidR="00AC4824">
        <w:rPr>
          <w:rFonts w:hint="eastAsia"/>
        </w:rPr>
        <w:t>中华书局</w:t>
      </w:r>
      <w:r>
        <w:rPr>
          <w:rFonts w:hint="eastAsia"/>
        </w:rPr>
        <w:t>，</w:t>
      </w:r>
      <w:r>
        <w:rPr>
          <w:rFonts w:hint="eastAsia"/>
        </w:rPr>
        <w:t>201</w:t>
      </w:r>
      <w:r w:rsidR="00AC4824">
        <w:rPr>
          <w:rFonts w:hint="eastAsia"/>
        </w:rPr>
        <w:t>4</w:t>
      </w:r>
      <w:r>
        <w:rPr>
          <w:rFonts w:hint="eastAsia"/>
        </w:rPr>
        <w:t>年，第</w:t>
      </w:r>
      <w:r w:rsidR="00AC4824">
        <w:rPr>
          <w:rFonts w:hint="eastAsia"/>
        </w:rPr>
        <w:t>745</w:t>
      </w:r>
      <w:r>
        <w:rPr>
          <w:rFonts w:hint="eastAsia"/>
        </w:rPr>
        <w:t>页</w:t>
      </w:r>
    </w:p>
  </w:footnote>
  <w:footnote w:id="18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288</w:t>
      </w:r>
      <w:r>
        <w:rPr>
          <w:rFonts w:hint="eastAsia"/>
        </w:rPr>
        <w:t>、</w:t>
      </w:r>
      <w:r>
        <w:rPr>
          <w:rFonts w:hint="eastAsia"/>
        </w:rPr>
        <w:t>289</w:t>
      </w:r>
      <w:r>
        <w:rPr>
          <w:rFonts w:hint="eastAsia"/>
        </w:rPr>
        <w:t>页</w:t>
      </w:r>
    </w:p>
  </w:footnote>
  <w:footnote w:id="19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王守仁，《重修山阴县学记》，《王文成公全书》卷七，中华书局，</w:t>
      </w:r>
      <w:r>
        <w:rPr>
          <w:rFonts w:hint="eastAsia"/>
        </w:rPr>
        <w:t>2015</w:t>
      </w:r>
      <w:r>
        <w:rPr>
          <w:rFonts w:hint="eastAsia"/>
        </w:rPr>
        <w:t>年，第</w:t>
      </w:r>
      <w:r>
        <w:rPr>
          <w:rFonts w:hint="eastAsia"/>
        </w:rPr>
        <w:t>312</w:t>
      </w:r>
      <w:r>
        <w:rPr>
          <w:rFonts w:hint="eastAsia"/>
        </w:rPr>
        <w:t>页</w:t>
      </w:r>
    </w:p>
  </w:footnote>
  <w:footnote w:id="20">
    <w:p w:rsidR="000867C9" w:rsidRDefault="00682DEE">
      <w:pPr>
        <w:pStyle w:val="a6"/>
        <w:ind w:left="180" w:hangingChars="100" w:hanging="180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陈立胜，《王阳明“万物一体”论——从“身—体”的立场看》，华东师范大学出版社，</w:t>
      </w:r>
      <w:r>
        <w:rPr>
          <w:rFonts w:hint="eastAsia"/>
        </w:rPr>
        <w:t>2008</w:t>
      </w:r>
      <w:r>
        <w:rPr>
          <w:rFonts w:hint="eastAsia"/>
        </w:rPr>
        <w:t>年，第</w:t>
      </w:r>
      <w:r>
        <w:rPr>
          <w:rFonts w:hint="eastAsia"/>
        </w:rPr>
        <w:t>34</w:t>
      </w:r>
      <w:r>
        <w:rPr>
          <w:rFonts w:hint="eastAsia"/>
        </w:rPr>
        <w:t>、</w:t>
      </w:r>
      <w:r>
        <w:rPr>
          <w:rFonts w:hint="eastAsia"/>
        </w:rPr>
        <w:t>35</w:t>
      </w:r>
      <w:r>
        <w:rPr>
          <w:rFonts w:hint="eastAsia"/>
        </w:rPr>
        <w:t>页</w:t>
      </w:r>
    </w:p>
  </w:footnote>
  <w:footnote w:id="21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王守仁，《大学问》，《王文成公全书》卷二十六</w:t>
      </w:r>
      <w:r>
        <w:rPr>
          <w:rFonts w:hint="eastAsia"/>
        </w:rPr>
        <w:t xml:space="preserve"> </w:t>
      </w:r>
      <w:r>
        <w:rPr>
          <w:rFonts w:hint="eastAsia"/>
        </w:rPr>
        <w:t>续编一，中华书局，</w:t>
      </w:r>
      <w:r>
        <w:rPr>
          <w:rFonts w:hint="eastAsia"/>
        </w:rPr>
        <w:t>2015</w:t>
      </w:r>
      <w:r>
        <w:rPr>
          <w:rFonts w:hint="eastAsia"/>
        </w:rPr>
        <w:t>年，第</w:t>
      </w:r>
      <w:r>
        <w:rPr>
          <w:rFonts w:hint="eastAsia"/>
        </w:rPr>
        <w:t>1113</w:t>
      </w:r>
      <w:r>
        <w:rPr>
          <w:rFonts w:hint="eastAsia"/>
        </w:rPr>
        <w:t>、</w:t>
      </w:r>
      <w:r>
        <w:rPr>
          <w:rFonts w:hint="eastAsia"/>
        </w:rPr>
        <w:t>1114</w:t>
      </w:r>
      <w:r>
        <w:rPr>
          <w:rFonts w:hint="eastAsia"/>
        </w:rPr>
        <w:t>页</w:t>
      </w:r>
    </w:p>
  </w:footnote>
  <w:footnote w:id="22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291</w:t>
      </w:r>
      <w:r>
        <w:rPr>
          <w:rFonts w:hint="eastAsia"/>
        </w:rPr>
        <w:t>页</w:t>
      </w:r>
    </w:p>
  </w:footnote>
  <w:footnote w:id="23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蔡仁厚，《王阳明哲学》，九州出版社，</w:t>
      </w:r>
      <w:r>
        <w:rPr>
          <w:rFonts w:hint="eastAsia"/>
        </w:rPr>
        <w:t>2013</w:t>
      </w:r>
      <w:r>
        <w:rPr>
          <w:rFonts w:hint="eastAsia"/>
        </w:rPr>
        <w:t>年，第</w:t>
      </w:r>
      <w:r>
        <w:rPr>
          <w:rFonts w:hint="eastAsia"/>
        </w:rPr>
        <w:t>138</w:t>
      </w:r>
      <w:r>
        <w:rPr>
          <w:rFonts w:hint="eastAsia"/>
        </w:rPr>
        <w:t>页</w:t>
      </w:r>
    </w:p>
  </w:footnote>
  <w:footnote w:id="24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262</w:t>
      </w:r>
      <w:r>
        <w:rPr>
          <w:rFonts w:hint="eastAsia"/>
        </w:rPr>
        <w:t>页</w:t>
      </w:r>
    </w:p>
  </w:footnote>
  <w:footnote w:id="25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  <w:color w:val="FF0000"/>
        </w:rPr>
        <w:t xml:space="preserve"> </w:t>
      </w:r>
      <w:r>
        <w:rPr>
          <w:rFonts w:hint="eastAsia"/>
        </w:rPr>
        <w:t>程颢、程颐，《河南程氏遗书》卷二上，中华书局，</w:t>
      </w:r>
      <w:r>
        <w:rPr>
          <w:rFonts w:hint="eastAsia"/>
        </w:rPr>
        <w:t>2004</w:t>
      </w:r>
      <w:r>
        <w:rPr>
          <w:rFonts w:hint="eastAsia"/>
        </w:rPr>
        <w:t>年，第</w:t>
      </w:r>
      <w:r>
        <w:rPr>
          <w:rFonts w:hint="eastAsia"/>
        </w:rPr>
        <w:t>15</w:t>
      </w:r>
      <w:r>
        <w:rPr>
          <w:rFonts w:hint="eastAsia"/>
        </w:rPr>
        <w:t>页</w:t>
      </w:r>
    </w:p>
  </w:footnote>
  <w:footnote w:id="26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程颢、程颐，《河南程氏遗书》卷二上，中华书局，</w:t>
      </w:r>
      <w:r>
        <w:rPr>
          <w:rFonts w:hint="eastAsia"/>
        </w:rPr>
        <w:t>2004</w:t>
      </w:r>
      <w:r>
        <w:rPr>
          <w:rFonts w:hint="eastAsia"/>
        </w:rPr>
        <w:t>年，第</w:t>
      </w:r>
      <w:r>
        <w:rPr>
          <w:rFonts w:hint="eastAsia"/>
        </w:rPr>
        <w:t>33</w:t>
      </w:r>
      <w:r>
        <w:rPr>
          <w:rFonts w:hint="eastAsia"/>
        </w:rPr>
        <w:t>页</w:t>
      </w:r>
    </w:p>
  </w:footnote>
  <w:footnote w:id="27">
    <w:p w:rsidR="000867C9" w:rsidRDefault="00682DEE">
      <w:pPr>
        <w:pStyle w:val="a6"/>
        <w:ind w:left="180" w:hangingChars="100" w:hanging="180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陈立胜，《王阳明“万物一体”论——从“身—体”的立场看》，华东师范大学出版社，</w:t>
      </w:r>
      <w:r>
        <w:rPr>
          <w:rFonts w:hint="eastAsia"/>
        </w:rPr>
        <w:t>2008</w:t>
      </w:r>
      <w:r>
        <w:rPr>
          <w:rFonts w:hint="eastAsia"/>
        </w:rPr>
        <w:t>年，第</w:t>
      </w:r>
      <w:r>
        <w:rPr>
          <w:rFonts w:hint="eastAsia"/>
        </w:rPr>
        <w:t>33</w:t>
      </w:r>
      <w:r>
        <w:rPr>
          <w:rFonts w:hint="eastAsia"/>
        </w:rPr>
        <w:t>页</w:t>
      </w:r>
    </w:p>
  </w:footnote>
  <w:footnote w:id="28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263</w:t>
      </w:r>
      <w:r>
        <w:rPr>
          <w:rFonts w:hint="eastAsia"/>
        </w:rPr>
        <w:t>页</w:t>
      </w:r>
    </w:p>
  </w:footnote>
  <w:footnote w:id="29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温磊，《程颢仁学思想研究》，山东大学硕士学位论文，</w:t>
      </w:r>
      <w:r>
        <w:rPr>
          <w:rFonts w:hint="eastAsia"/>
        </w:rPr>
        <w:t>2010</w:t>
      </w:r>
      <w:r>
        <w:rPr>
          <w:rFonts w:hint="eastAsia"/>
        </w:rPr>
        <w:t>年，第</w:t>
      </w:r>
      <w:r>
        <w:rPr>
          <w:rFonts w:hint="eastAsia"/>
        </w:rPr>
        <w:t>30</w:t>
      </w:r>
      <w:r>
        <w:rPr>
          <w:rFonts w:hint="eastAsia"/>
        </w:rPr>
        <w:t>页</w:t>
      </w:r>
    </w:p>
  </w:footnote>
  <w:footnote w:id="30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263</w:t>
      </w:r>
      <w:r>
        <w:rPr>
          <w:rFonts w:hint="eastAsia"/>
        </w:rPr>
        <w:t>页</w:t>
      </w:r>
    </w:p>
  </w:footnote>
  <w:footnote w:id="31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t>朱熹，《朱子全书外编》，</w:t>
      </w:r>
      <w:r>
        <w:rPr>
          <w:rFonts w:hint="eastAsia"/>
        </w:rPr>
        <w:t>《上蔡语录》，卷中，华东师范大学出版社，</w:t>
      </w:r>
      <w:r>
        <w:rPr>
          <w:rFonts w:hint="eastAsia"/>
        </w:rPr>
        <w:t>2010</w:t>
      </w:r>
      <w:r>
        <w:rPr>
          <w:rFonts w:hint="eastAsia"/>
        </w:rPr>
        <w:t>年，第</w:t>
      </w:r>
      <w:r>
        <w:rPr>
          <w:rFonts w:hint="eastAsia"/>
        </w:rPr>
        <w:t>20</w:t>
      </w:r>
      <w:r>
        <w:rPr>
          <w:rFonts w:hint="eastAsia"/>
        </w:rPr>
        <w:t>页</w:t>
      </w:r>
    </w:p>
  </w:footnote>
  <w:footnote w:id="32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t>朱熹，</w:t>
      </w:r>
      <w:r>
        <w:rPr>
          <w:rFonts w:hint="eastAsia"/>
        </w:rPr>
        <w:t>《朱子全书外编》，《上蔡语录》，卷上，华东师范大学出版社，</w:t>
      </w:r>
      <w:r>
        <w:rPr>
          <w:rFonts w:hint="eastAsia"/>
        </w:rPr>
        <w:t>2010</w:t>
      </w:r>
      <w:r>
        <w:rPr>
          <w:rFonts w:hint="eastAsia"/>
        </w:rPr>
        <w:t>年，第</w:t>
      </w:r>
      <w:r>
        <w:rPr>
          <w:rFonts w:hint="eastAsia"/>
        </w:rPr>
        <w:t>2</w:t>
      </w:r>
      <w:r>
        <w:rPr>
          <w:rFonts w:hint="eastAsia"/>
        </w:rPr>
        <w:t>页</w:t>
      </w:r>
    </w:p>
  </w:footnote>
  <w:footnote w:id="33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王光红，《谢良佐仁学思想研究》，湘潭大学硕士学位论文，</w:t>
      </w:r>
      <w:r>
        <w:rPr>
          <w:rFonts w:hint="eastAsia"/>
        </w:rPr>
        <w:t>2008</w:t>
      </w:r>
      <w:r>
        <w:rPr>
          <w:rFonts w:hint="eastAsia"/>
        </w:rPr>
        <w:t>年，第</w:t>
      </w:r>
      <w:r>
        <w:rPr>
          <w:rFonts w:hint="eastAsia"/>
        </w:rPr>
        <w:t>7</w:t>
      </w:r>
      <w:r>
        <w:rPr>
          <w:rFonts w:hint="eastAsia"/>
        </w:rPr>
        <w:t>、</w:t>
      </w:r>
      <w:r>
        <w:rPr>
          <w:rFonts w:hint="eastAsia"/>
        </w:rPr>
        <w:t>8</w:t>
      </w:r>
      <w:r>
        <w:rPr>
          <w:rFonts w:hint="eastAsia"/>
        </w:rPr>
        <w:t>页</w:t>
      </w:r>
    </w:p>
  </w:footnote>
  <w:footnote w:id="34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朱子《论语精义》中记述上蔡的话，转引自陈来《仁学本体论》</w:t>
      </w:r>
    </w:p>
  </w:footnote>
  <w:footnote w:id="35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王光红，《谢良佐仁学思想研究》，湘潭大学硕士学位论文，</w:t>
      </w:r>
      <w:r>
        <w:rPr>
          <w:rFonts w:hint="eastAsia"/>
        </w:rPr>
        <w:t>2008</w:t>
      </w:r>
      <w:r>
        <w:rPr>
          <w:rFonts w:hint="eastAsia"/>
        </w:rPr>
        <w:t>年，第</w:t>
      </w:r>
      <w:r>
        <w:rPr>
          <w:rFonts w:hint="eastAsia"/>
        </w:rPr>
        <w:t>10</w:t>
      </w:r>
      <w:r>
        <w:rPr>
          <w:rFonts w:hint="eastAsia"/>
        </w:rPr>
        <w:t>页</w:t>
      </w:r>
    </w:p>
  </w:footnote>
  <w:footnote w:id="36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t>转引自：高会霞，《朱熹仁学思想研究》，河南大学硕士学位论文，</w:t>
      </w:r>
      <w:r>
        <w:rPr>
          <w:rFonts w:hint="eastAsia"/>
        </w:rPr>
        <w:t>2003</w:t>
      </w:r>
      <w:r>
        <w:rPr>
          <w:rFonts w:hint="eastAsia"/>
        </w:rPr>
        <w:t>年，</w:t>
      </w:r>
      <w:r>
        <w:t>第</w:t>
      </w:r>
      <w:r>
        <w:rPr>
          <w:rFonts w:hint="eastAsia"/>
        </w:rPr>
        <w:t>20</w:t>
      </w:r>
      <w:r>
        <w:rPr>
          <w:rFonts w:hint="eastAsia"/>
        </w:rPr>
        <w:t>页</w:t>
      </w:r>
    </w:p>
  </w:footnote>
  <w:footnote w:id="37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黎靖德编，《朱子语类》，中华书局，</w:t>
      </w:r>
      <w:r>
        <w:rPr>
          <w:rFonts w:hint="eastAsia"/>
        </w:rPr>
        <w:t>1986</w:t>
      </w:r>
      <w:r>
        <w:rPr>
          <w:rFonts w:hint="eastAsia"/>
        </w:rPr>
        <w:t>年，第</w:t>
      </w:r>
      <w:r>
        <w:rPr>
          <w:rFonts w:hint="eastAsia"/>
        </w:rPr>
        <w:t>86</w:t>
      </w:r>
      <w:r>
        <w:rPr>
          <w:rFonts w:hint="eastAsia"/>
        </w:rPr>
        <w:t>页</w:t>
      </w:r>
    </w:p>
  </w:footnote>
  <w:footnote w:id="38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黎靖德编，《朱子语类》，中华书局，</w:t>
      </w:r>
      <w:r>
        <w:rPr>
          <w:rFonts w:hint="eastAsia"/>
        </w:rPr>
        <w:t>1986</w:t>
      </w:r>
      <w:r>
        <w:rPr>
          <w:rFonts w:hint="eastAsia"/>
        </w:rPr>
        <w:t>年，第</w:t>
      </w:r>
      <w:r>
        <w:rPr>
          <w:rFonts w:hint="eastAsia"/>
        </w:rPr>
        <w:t>465</w:t>
      </w:r>
      <w:r>
        <w:rPr>
          <w:rFonts w:hint="eastAsia"/>
        </w:rPr>
        <w:t>页</w:t>
      </w:r>
    </w:p>
  </w:footnote>
  <w:footnote w:id="39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黎靖德编，《朱子语类》，中华书局，</w:t>
      </w:r>
      <w:r>
        <w:rPr>
          <w:rFonts w:hint="eastAsia"/>
        </w:rPr>
        <w:t>1986</w:t>
      </w:r>
      <w:r>
        <w:rPr>
          <w:rFonts w:hint="eastAsia"/>
        </w:rPr>
        <w:t>年，第</w:t>
      </w:r>
      <w:r>
        <w:rPr>
          <w:rFonts w:hint="eastAsia"/>
        </w:rPr>
        <w:t>477</w:t>
      </w:r>
      <w:r>
        <w:rPr>
          <w:rFonts w:hint="eastAsia"/>
        </w:rPr>
        <w:t>页</w:t>
      </w:r>
    </w:p>
  </w:footnote>
  <w:footnote w:id="40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黎靖德编，《朱子语类》，中华书局，</w:t>
      </w:r>
      <w:r>
        <w:rPr>
          <w:rFonts w:hint="eastAsia"/>
        </w:rPr>
        <w:t>1986</w:t>
      </w:r>
      <w:r>
        <w:rPr>
          <w:rFonts w:hint="eastAsia"/>
        </w:rPr>
        <w:t>年，第</w:t>
      </w:r>
      <w:r>
        <w:rPr>
          <w:rFonts w:hint="eastAsia"/>
        </w:rPr>
        <w:t>2585</w:t>
      </w:r>
      <w:r>
        <w:rPr>
          <w:rFonts w:hint="eastAsia"/>
        </w:rPr>
        <w:t>页</w:t>
      </w:r>
    </w:p>
  </w:footnote>
  <w:footnote w:id="41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陈来，《朱子哲学研究》，三联书店，</w:t>
      </w:r>
      <w:r>
        <w:rPr>
          <w:rFonts w:hint="eastAsia"/>
        </w:rPr>
        <w:t>2010</w:t>
      </w:r>
      <w:r>
        <w:rPr>
          <w:rFonts w:hint="eastAsia"/>
        </w:rPr>
        <w:t>年，第</w:t>
      </w:r>
      <w:r>
        <w:rPr>
          <w:rFonts w:hint="eastAsia"/>
        </w:rPr>
        <w:t>264</w:t>
      </w:r>
      <w:r>
        <w:rPr>
          <w:rFonts w:hint="eastAsia"/>
        </w:rPr>
        <w:t>页</w:t>
      </w:r>
    </w:p>
  </w:footnote>
  <w:footnote w:id="42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264</w:t>
      </w:r>
      <w:r>
        <w:rPr>
          <w:rFonts w:hint="eastAsia"/>
        </w:rPr>
        <w:t>页</w:t>
      </w:r>
    </w:p>
  </w:footnote>
  <w:footnote w:id="43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程颢、程颐，《河南程氏遗书》卷十一，中华书局，</w:t>
      </w:r>
      <w:r>
        <w:rPr>
          <w:rFonts w:hint="eastAsia"/>
        </w:rPr>
        <w:t>2004</w:t>
      </w:r>
      <w:r>
        <w:rPr>
          <w:rFonts w:hint="eastAsia"/>
        </w:rPr>
        <w:t>年，第</w:t>
      </w:r>
      <w:r>
        <w:rPr>
          <w:rFonts w:hint="eastAsia"/>
        </w:rPr>
        <w:t>120</w:t>
      </w:r>
      <w:r>
        <w:rPr>
          <w:rFonts w:hint="eastAsia"/>
        </w:rPr>
        <w:t>页</w:t>
      </w:r>
    </w:p>
  </w:footnote>
  <w:footnote w:id="44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温磊，《程颢仁学思想研究》，山东大学硕士学位论文，</w:t>
      </w:r>
      <w:r>
        <w:rPr>
          <w:rFonts w:hint="eastAsia"/>
        </w:rPr>
        <w:t>2010</w:t>
      </w:r>
      <w:r>
        <w:rPr>
          <w:rFonts w:hint="eastAsia"/>
        </w:rPr>
        <w:t>年，第</w:t>
      </w:r>
      <w:r>
        <w:rPr>
          <w:rFonts w:hint="eastAsia"/>
        </w:rPr>
        <w:t>17</w:t>
      </w:r>
      <w:r>
        <w:rPr>
          <w:rFonts w:hint="eastAsia"/>
        </w:rPr>
        <w:t>页</w:t>
      </w:r>
    </w:p>
  </w:footnote>
  <w:footnote w:id="45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38</w:t>
      </w:r>
      <w:r>
        <w:rPr>
          <w:rFonts w:hint="eastAsia"/>
        </w:rPr>
        <w:t>页</w:t>
      </w:r>
    </w:p>
  </w:footnote>
  <w:footnote w:id="46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黄宗羲、全望祖，《宋元学案·明道学案下》，中华书局，</w:t>
      </w:r>
      <w:r>
        <w:rPr>
          <w:rFonts w:hint="eastAsia"/>
        </w:rPr>
        <w:t>1986</w:t>
      </w:r>
      <w:r>
        <w:rPr>
          <w:rFonts w:hint="eastAsia"/>
        </w:rPr>
        <w:t>年，第</w:t>
      </w:r>
      <w:r>
        <w:rPr>
          <w:rFonts w:hint="eastAsia"/>
        </w:rPr>
        <w:t>578</w:t>
      </w:r>
      <w:r>
        <w:rPr>
          <w:rFonts w:hint="eastAsia"/>
        </w:rPr>
        <w:t>页</w:t>
      </w:r>
    </w:p>
  </w:footnote>
  <w:footnote w:id="47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朱熹，《四书章句集注》，中华书局，</w:t>
      </w:r>
      <w:r>
        <w:rPr>
          <w:rFonts w:hint="eastAsia"/>
        </w:rPr>
        <w:t>2011</w:t>
      </w:r>
      <w:r>
        <w:rPr>
          <w:rFonts w:hint="eastAsia"/>
        </w:rPr>
        <w:t>年，第</w:t>
      </w:r>
      <w:r>
        <w:rPr>
          <w:rFonts w:hint="eastAsia"/>
        </w:rPr>
        <w:t>28</w:t>
      </w:r>
      <w:r>
        <w:rPr>
          <w:rFonts w:hint="eastAsia"/>
        </w:rPr>
        <w:t>页</w:t>
      </w:r>
    </w:p>
  </w:footnote>
  <w:footnote w:id="48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朱熹，《朱子全书》，上海古籍出版社，安徽教育出版社，</w:t>
      </w:r>
      <w:r>
        <w:rPr>
          <w:rFonts w:hint="eastAsia"/>
        </w:rPr>
        <w:t>2002</w:t>
      </w:r>
      <w:r>
        <w:rPr>
          <w:rFonts w:hint="eastAsia"/>
        </w:rPr>
        <w:t>年，第</w:t>
      </w:r>
      <w:r>
        <w:rPr>
          <w:rFonts w:hint="eastAsia"/>
        </w:rPr>
        <w:t>3279</w:t>
      </w:r>
      <w:r>
        <w:rPr>
          <w:rFonts w:hint="eastAsia"/>
        </w:rPr>
        <w:t>页</w:t>
      </w:r>
    </w:p>
  </w:footnote>
  <w:footnote w:id="49">
    <w:p w:rsidR="000867C9" w:rsidRDefault="00682DEE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蒙培元，《朱熹哲学十论》，中国人民大学出版社，</w:t>
      </w:r>
      <w:r>
        <w:rPr>
          <w:rFonts w:hint="eastAsia"/>
        </w:rPr>
        <w:t>2010</w:t>
      </w:r>
      <w:r>
        <w:rPr>
          <w:rFonts w:hint="eastAsia"/>
        </w:rPr>
        <w:t>年，第</w:t>
      </w:r>
      <w:r>
        <w:rPr>
          <w:rFonts w:hint="eastAsia"/>
        </w:rPr>
        <w:t>116</w:t>
      </w:r>
      <w:r>
        <w:rPr>
          <w:rFonts w:hint="eastAsia"/>
        </w:rPr>
        <w:t>页</w:t>
      </w:r>
    </w:p>
  </w:footnote>
  <w:footnote w:id="50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陈来，《仁学本体论》，三联书店，</w:t>
      </w:r>
      <w:r>
        <w:rPr>
          <w:rFonts w:hint="eastAsia"/>
        </w:rPr>
        <w:t>2014</w:t>
      </w:r>
      <w:r>
        <w:rPr>
          <w:rFonts w:hint="eastAsia"/>
        </w:rPr>
        <w:t>年，第</w:t>
      </w:r>
      <w:r>
        <w:rPr>
          <w:rFonts w:hint="eastAsia"/>
        </w:rPr>
        <w:t>310</w:t>
      </w:r>
      <w:r>
        <w:rPr>
          <w:rFonts w:hint="eastAsia"/>
        </w:rPr>
        <w:t>页</w:t>
      </w:r>
    </w:p>
  </w:footnote>
  <w:footnote w:id="51">
    <w:p w:rsidR="000867C9" w:rsidRDefault="00682DEE">
      <w:pPr>
        <w:pStyle w:val="a6"/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朱熹，《四书章句集注》，《论语集注》，中华书局，</w:t>
      </w:r>
      <w:r>
        <w:rPr>
          <w:rFonts w:hint="eastAsia"/>
        </w:rPr>
        <w:t>2011</w:t>
      </w:r>
      <w:r>
        <w:rPr>
          <w:rFonts w:hint="eastAsia"/>
        </w:rPr>
        <w:t>年，第</w:t>
      </w:r>
      <w:r>
        <w:rPr>
          <w:rFonts w:hint="eastAsia"/>
        </w:rPr>
        <w:t>50</w:t>
      </w:r>
      <w:r>
        <w:rPr>
          <w:rFonts w:hint="eastAsia"/>
        </w:rPr>
        <w:t>页</w:t>
      </w:r>
    </w:p>
  </w:footnote>
  <w:footnote w:id="52">
    <w:p w:rsidR="000867C9" w:rsidRDefault="00682DEE">
      <w:pPr>
        <w:pStyle w:val="a6"/>
        <w:rPr>
          <w:color w:val="FF0000"/>
        </w:rPr>
      </w:pPr>
      <w:r>
        <w:rPr>
          <w:rStyle w:val="a8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朱熹，《四书章句集注》，《孟子集注》，中华书局，</w:t>
      </w:r>
      <w:r>
        <w:rPr>
          <w:rFonts w:hint="eastAsia"/>
        </w:rPr>
        <w:t>2011</w:t>
      </w:r>
      <w:r>
        <w:rPr>
          <w:rFonts w:hint="eastAsia"/>
        </w:rPr>
        <w:t>年，第</w:t>
      </w:r>
      <w:r>
        <w:rPr>
          <w:rFonts w:hint="eastAsia"/>
        </w:rPr>
        <w:t>201</w:t>
      </w:r>
      <w:r>
        <w:rPr>
          <w:rFonts w:hint="eastAsia"/>
        </w:rPr>
        <w:t>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8CA" w:rsidRDefault="004608CA" w:rsidP="00B43B6D">
    <w:pPr>
      <w:pStyle w:val="a5"/>
      <w:pBdr>
        <w:bottom w:val="single" w:sz="6" w:space="0" w:color="auto"/>
      </w:pBdr>
      <w:tabs>
        <w:tab w:val="clear" w:pos="4153"/>
        <w:tab w:val="clear" w:pos="8306"/>
        <w:tab w:val="left" w:pos="2866"/>
      </w:tabs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8CA" w:rsidRPr="004608CA" w:rsidRDefault="004608CA" w:rsidP="004608CA">
    <w:pPr>
      <w:pStyle w:val="a5"/>
    </w:pPr>
    <w:r>
      <w:rPr>
        <w:rFonts w:hint="eastAsia"/>
      </w:rPr>
      <w:t>仁者知觉</w:t>
    </w:r>
    <w:r>
      <w:rPr>
        <w:rFonts w:hint="eastAsia"/>
      </w:rPr>
      <w:t xml:space="preserve"> </w:t>
    </w:r>
    <w:r>
      <w:rPr>
        <w:rFonts w:hint="eastAsia"/>
      </w:rPr>
      <w:t>与物同体——程颢仁学思想的创立与开展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numFmt w:val="decimalEnclosedCircleChinese"/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A59"/>
    <w:rsid w:val="000133DC"/>
    <w:rsid w:val="00021F36"/>
    <w:rsid w:val="00026AE3"/>
    <w:rsid w:val="00053906"/>
    <w:rsid w:val="00057905"/>
    <w:rsid w:val="00067E21"/>
    <w:rsid w:val="00073F5A"/>
    <w:rsid w:val="000772AB"/>
    <w:rsid w:val="000867C9"/>
    <w:rsid w:val="0009380C"/>
    <w:rsid w:val="000B2B60"/>
    <w:rsid w:val="000B5386"/>
    <w:rsid w:val="000B64F8"/>
    <w:rsid w:val="000D3B46"/>
    <w:rsid w:val="000F12A4"/>
    <w:rsid w:val="000F3C76"/>
    <w:rsid w:val="001005DA"/>
    <w:rsid w:val="0011093B"/>
    <w:rsid w:val="00112AD6"/>
    <w:rsid w:val="00132930"/>
    <w:rsid w:val="0013320D"/>
    <w:rsid w:val="00134B41"/>
    <w:rsid w:val="00134B99"/>
    <w:rsid w:val="00137CF2"/>
    <w:rsid w:val="00151137"/>
    <w:rsid w:val="00163864"/>
    <w:rsid w:val="00166CB2"/>
    <w:rsid w:val="00190AFD"/>
    <w:rsid w:val="001C07FB"/>
    <w:rsid w:val="001D3C9B"/>
    <w:rsid w:val="001D5ADF"/>
    <w:rsid w:val="001E0932"/>
    <w:rsid w:val="001E096C"/>
    <w:rsid w:val="001E50CA"/>
    <w:rsid w:val="002033B0"/>
    <w:rsid w:val="002167D3"/>
    <w:rsid w:val="00216F37"/>
    <w:rsid w:val="002261C5"/>
    <w:rsid w:val="002515AC"/>
    <w:rsid w:val="00263493"/>
    <w:rsid w:val="002B3DD6"/>
    <w:rsid w:val="002E6088"/>
    <w:rsid w:val="00300CCA"/>
    <w:rsid w:val="003360B5"/>
    <w:rsid w:val="00373F1F"/>
    <w:rsid w:val="0037530B"/>
    <w:rsid w:val="003761AF"/>
    <w:rsid w:val="00383169"/>
    <w:rsid w:val="003A43E0"/>
    <w:rsid w:val="003C13FC"/>
    <w:rsid w:val="003D18D3"/>
    <w:rsid w:val="003D2DE6"/>
    <w:rsid w:val="003E6708"/>
    <w:rsid w:val="00450951"/>
    <w:rsid w:val="00453C32"/>
    <w:rsid w:val="004608CA"/>
    <w:rsid w:val="00481286"/>
    <w:rsid w:val="004B6EA1"/>
    <w:rsid w:val="004D3F2D"/>
    <w:rsid w:val="005016A2"/>
    <w:rsid w:val="00503A81"/>
    <w:rsid w:val="00505289"/>
    <w:rsid w:val="0050696E"/>
    <w:rsid w:val="005263B4"/>
    <w:rsid w:val="005313D8"/>
    <w:rsid w:val="00531E18"/>
    <w:rsid w:val="0053747C"/>
    <w:rsid w:val="00537A3A"/>
    <w:rsid w:val="00540264"/>
    <w:rsid w:val="005527F7"/>
    <w:rsid w:val="005607D5"/>
    <w:rsid w:val="0057247E"/>
    <w:rsid w:val="00577CE8"/>
    <w:rsid w:val="005871B6"/>
    <w:rsid w:val="005A06FE"/>
    <w:rsid w:val="005A5D91"/>
    <w:rsid w:val="005B7724"/>
    <w:rsid w:val="005C01CC"/>
    <w:rsid w:val="005C1F16"/>
    <w:rsid w:val="005E42B3"/>
    <w:rsid w:val="00600939"/>
    <w:rsid w:val="006136D1"/>
    <w:rsid w:val="00613E10"/>
    <w:rsid w:val="00617C0F"/>
    <w:rsid w:val="006260AE"/>
    <w:rsid w:val="00642DF9"/>
    <w:rsid w:val="0064393C"/>
    <w:rsid w:val="00664330"/>
    <w:rsid w:val="006651D3"/>
    <w:rsid w:val="00682DEE"/>
    <w:rsid w:val="006A6B1C"/>
    <w:rsid w:val="006E0503"/>
    <w:rsid w:val="00730B47"/>
    <w:rsid w:val="00745F49"/>
    <w:rsid w:val="00763C3B"/>
    <w:rsid w:val="007B58D4"/>
    <w:rsid w:val="007E1D70"/>
    <w:rsid w:val="007F62BC"/>
    <w:rsid w:val="007F7E58"/>
    <w:rsid w:val="00806231"/>
    <w:rsid w:val="00812673"/>
    <w:rsid w:val="00816BFB"/>
    <w:rsid w:val="008225B7"/>
    <w:rsid w:val="00827E9D"/>
    <w:rsid w:val="008431B2"/>
    <w:rsid w:val="0085687D"/>
    <w:rsid w:val="008E46B0"/>
    <w:rsid w:val="008F076C"/>
    <w:rsid w:val="009011D5"/>
    <w:rsid w:val="009015F7"/>
    <w:rsid w:val="0092296A"/>
    <w:rsid w:val="00953F0A"/>
    <w:rsid w:val="00966FB2"/>
    <w:rsid w:val="00993453"/>
    <w:rsid w:val="00993FF9"/>
    <w:rsid w:val="009B08B7"/>
    <w:rsid w:val="009C17D0"/>
    <w:rsid w:val="009D33C5"/>
    <w:rsid w:val="009E12C9"/>
    <w:rsid w:val="009F5D7A"/>
    <w:rsid w:val="00A140FE"/>
    <w:rsid w:val="00A23F41"/>
    <w:rsid w:val="00A34BA2"/>
    <w:rsid w:val="00A60019"/>
    <w:rsid w:val="00A90AD5"/>
    <w:rsid w:val="00AA1A86"/>
    <w:rsid w:val="00AA5A17"/>
    <w:rsid w:val="00AA794B"/>
    <w:rsid w:val="00AB1A0F"/>
    <w:rsid w:val="00AC4824"/>
    <w:rsid w:val="00AC4D80"/>
    <w:rsid w:val="00AD0B59"/>
    <w:rsid w:val="00AE58C5"/>
    <w:rsid w:val="00B15CA8"/>
    <w:rsid w:val="00B21EDA"/>
    <w:rsid w:val="00B3736F"/>
    <w:rsid w:val="00B43B6D"/>
    <w:rsid w:val="00B6275A"/>
    <w:rsid w:val="00B75B3B"/>
    <w:rsid w:val="00BB5F73"/>
    <w:rsid w:val="00BC6004"/>
    <w:rsid w:val="00BD4318"/>
    <w:rsid w:val="00BE7FAB"/>
    <w:rsid w:val="00BF5098"/>
    <w:rsid w:val="00C17AC0"/>
    <w:rsid w:val="00C25F7B"/>
    <w:rsid w:val="00C36B92"/>
    <w:rsid w:val="00C6441C"/>
    <w:rsid w:val="00C64C74"/>
    <w:rsid w:val="00C8594D"/>
    <w:rsid w:val="00CA4CB1"/>
    <w:rsid w:val="00CA6B80"/>
    <w:rsid w:val="00D12424"/>
    <w:rsid w:val="00D3139F"/>
    <w:rsid w:val="00D4667D"/>
    <w:rsid w:val="00D508F9"/>
    <w:rsid w:val="00D54D90"/>
    <w:rsid w:val="00D7370F"/>
    <w:rsid w:val="00D737D5"/>
    <w:rsid w:val="00DC10FB"/>
    <w:rsid w:val="00DD2936"/>
    <w:rsid w:val="00DD3EFC"/>
    <w:rsid w:val="00DE3CC3"/>
    <w:rsid w:val="00DF5496"/>
    <w:rsid w:val="00E04F6B"/>
    <w:rsid w:val="00E51521"/>
    <w:rsid w:val="00E6206F"/>
    <w:rsid w:val="00E634BA"/>
    <w:rsid w:val="00E7432C"/>
    <w:rsid w:val="00E81C6C"/>
    <w:rsid w:val="00E908C3"/>
    <w:rsid w:val="00EA0787"/>
    <w:rsid w:val="00EA2F91"/>
    <w:rsid w:val="00EA3263"/>
    <w:rsid w:val="00EB4B43"/>
    <w:rsid w:val="00EE6F41"/>
    <w:rsid w:val="00F26A59"/>
    <w:rsid w:val="00F3732A"/>
    <w:rsid w:val="00F53044"/>
    <w:rsid w:val="00F60FF0"/>
    <w:rsid w:val="00F61BC1"/>
    <w:rsid w:val="00F758A2"/>
    <w:rsid w:val="00F75DDE"/>
    <w:rsid w:val="00FD2E39"/>
    <w:rsid w:val="00FF5684"/>
    <w:rsid w:val="04CA7E1E"/>
    <w:rsid w:val="18FD3624"/>
    <w:rsid w:val="1B4747BC"/>
    <w:rsid w:val="2767192C"/>
    <w:rsid w:val="279558ED"/>
    <w:rsid w:val="2C6B73B6"/>
    <w:rsid w:val="34954C13"/>
    <w:rsid w:val="49161BF3"/>
    <w:rsid w:val="620E2138"/>
    <w:rsid w:val="6458240C"/>
    <w:rsid w:val="654422B8"/>
    <w:rsid w:val="687838F0"/>
    <w:rsid w:val="6E953436"/>
    <w:rsid w:val="72DC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semiHidden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line="360" w:lineRule="auto"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a3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widowControl/>
      <w:spacing w:after="100" w:line="276" w:lineRule="auto"/>
      <w:jc w:val="left"/>
    </w:pPr>
    <w:rPr>
      <w:kern w:val="0"/>
      <w:sz w:val="22"/>
    </w:rPr>
  </w:style>
  <w:style w:type="paragraph" w:styleId="a6">
    <w:name w:val="footnote text"/>
    <w:basedOn w:val="a"/>
    <w:link w:val="Char2"/>
    <w:uiPriority w:val="99"/>
    <w:unhideWhenUsed/>
    <w:qFormat/>
    <w:pPr>
      <w:snapToGrid w:val="0"/>
      <w:jc w:val="left"/>
    </w:pPr>
    <w:rPr>
      <w:sz w:val="18"/>
      <w:szCs w:val="18"/>
    </w:rPr>
  </w:style>
  <w:style w:type="paragraph" w:styleId="20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kern w:val="0"/>
      <w:sz w:val="22"/>
    </w:rPr>
  </w:style>
  <w:style w:type="character" w:styleId="a7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8">
    <w:name w:val="footnote reference"/>
    <w:basedOn w:val="a0"/>
    <w:uiPriority w:val="99"/>
    <w:unhideWhenUsed/>
    <w:qFormat/>
    <w:rPr>
      <w:vertAlign w:val="superscript"/>
    </w:rPr>
  </w:style>
  <w:style w:type="character" w:customStyle="1" w:styleId="Char2">
    <w:name w:val="脚注文本 Char"/>
    <w:basedOn w:val="a0"/>
    <w:link w:val="a6"/>
    <w:uiPriority w:val="99"/>
    <w:qFormat/>
    <w:rPr>
      <w:sz w:val="18"/>
      <w:szCs w:val="18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28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semiHidden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line="360" w:lineRule="auto"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a3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widowControl/>
      <w:spacing w:after="100" w:line="276" w:lineRule="auto"/>
      <w:jc w:val="left"/>
    </w:pPr>
    <w:rPr>
      <w:kern w:val="0"/>
      <w:sz w:val="22"/>
    </w:rPr>
  </w:style>
  <w:style w:type="paragraph" w:styleId="a6">
    <w:name w:val="footnote text"/>
    <w:basedOn w:val="a"/>
    <w:link w:val="Char2"/>
    <w:uiPriority w:val="99"/>
    <w:unhideWhenUsed/>
    <w:qFormat/>
    <w:pPr>
      <w:snapToGrid w:val="0"/>
      <w:jc w:val="left"/>
    </w:pPr>
    <w:rPr>
      <w:sz w:val="18"/>
      <w:szCs w:val="18"/>
    </w:rPr>
  </w:style>
  <w:style w:type="paragraph" w:styleId="20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kern w:val="0"/>
      <w:sz w:val="22"/>
    </w:rPr>
  </w:style>
  <w:style w:type="character" w:styleId="a7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8">
    <w:name w:val="footnote reference"/>
    <w:basedOn w:val="a0"/>
    <w:uiPriority w:val="99"/>
    <w:unhideWhenUsed/>
    <w:qFormat/>
    <w:rPr>
      <w:vertAlign w:val="superscript"/>
    </w:rPr>
  </w:style>
  <w:style w:type="character" w:customStyle="1" w:styleId="Char2">
    <w:name w:val="脚注文本 Char"/>
    <w:basedOn w:val="a0"/>
    <w:link w:val="a6"/>
    <w:uiPriority w:val="99"/>
    <w:qFormat/>
    <w:rPr>
      <w:sz w:val="18"/>
      <w:szCs w:val="18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28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B144531-38C3-45F6-ADC1-CD031A85D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2338</Words>
  <Characters>13330</Characters>
  <Application>Microsoft Office Word</Application>
  <DocSecurity>0</DocSecurity>
  <Lines>111</Lines>
  <Paragraphs>31</Paragraphs>
  <ScaleCrop>false</ScaleCrop>
  <Company/>
  <LinksUpToDate>false</LinksUpToDate>
  <CharactersWithSpaces>15637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55</cp:revision>
  <dcterms:created xsi:type="dcterms:W3CDTF">2017-04-04T09:28:00Z</dcterms:created>
  <dcterms:modified xsi:type="dcterms:W3CDTF">2017-04-21T03:34:00Z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