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00" w:lineRule="auto"/>
        <w:jc w:val="center"/>
        <w:rPr>
          <w:rFonts w:ascii="宋体" w:hAnsi="宋体" w:eastAsia="宋体" w:cs="宋体"/>
          <w:b/>
          <w:bCs/>
          <w:kern w:val="0"/>
          <w:sz w:val="72"/>
          <w:szCs w:val="72"/>
        </w:rPr>
      </w:pPr>
    </w:p>
    <w:p>
      <w:pPr>
        <w:widowControl/>
        <w:spacing w:line="300" w:lineRule="auto"/>
        <w:jc w:val="center"/>
        <w:rPr>
          <w:rFonts w:ascii="宋体" w:hAnsi="宋体" w:eastAsia="宋体" w:cs="宋体"/>
          <w:b/>
          <w:bCs/>
          <w:kern w:val="0"/>
          <w:sz w:val="72"/>
          <w:szCs w:val="72"/>
        </w:rPr>
      </w:pPr>
    </w:p>
    <w:p>
      <w:pPr>
        <w:widowControl/>
        <w:spacing w:line="300" w:lineRule="auto"/>
        <w:jc w:val="center"/>
        <w:rPr>
          <w:rFonts w:hint="eastAsia" w:ascii="宋体" w:hAnsi="宋体" w:eastAsia="宋体" w:cs="宋体"/>
          <w:kern w:val="0"/>
          <w:sz w:val="72"/>
          <w:szCs w:val="72"/>
        </w:rPr>
      </w:pPr>
      <w:r>
        <w:rPr>
          <w:rFonts w:hint="eastAsia" w:ascii="宋体" w:hAnsi="宋体" w:eastAsia="宋体" w:cs="宋体"/>
          <w:b/>
          <w:bCs/>
          <w:kern w:val="0"/>
          <w:sz w:val="72"/>
          <w:szCs w:val="72"/>
        </w:rPr>
        <w:t>南 开 大 学</w:t>
      </w:r>
    </w:p>
    <w:p>
      <w:pPr>
        <w:widowControl/>
        <w:spacing w:line="300" w:lineRule="auto"/>
        <w:jc w:val="center"/>
        <w:rPr>
          <w:rFonts w:ascii="Calibri" w:hAnsi="Calibri" w:eastAsia="宋体" w:cs="宋体"/>
          <w:kern w:val="0"/>
          <w:szCs w:val="21"/>
        </w:rPr>
      </w:pPr>
    </w:p>
    <w:p>
      <w:pPr>
        <w:widowControl/>
        <w:spacing w:line="300" w:lineRule="auto"/>
        <w:jc w:val="center"/>
        <w:rPr>
          <w:rFonts w:hint="eastAsia" w:ascii="宋体" w:hAnsi="宋体" w:eastAsia="宋体" w:cs="宋体"/>
          <w:b/>
          <w:bCs/>
          <w:kern w:val="0"/>
          <w:sz w:val="52"/>
          <w:szCs w:val="52"/>
        </w:rPr>
      </w:pPr>
      <w:r>
        <w:rPr>
          <w:rFonts w:hint="eastAsia" w:ascii="宋体" w:hAnsi="宋体" w:eastAsia="宋体" w:cs="宋体"/>
          <w:b/>
          <w:bCs/>
          <w:kern w:val="0"/>
          <w:sz w:val="52"/>
          <w:szCs w:val="52"/>
        </w:rPr>
        <w:t>本 科 生 学 年 论 文</w:t>
      </w:r>
    </w:p>
    <w:p>
      <w:pPr>
        <w:pStyle w:val="18"/>
        <w:spacing w:line="300" w:lineRule="auto"/>
        <w:jc w:val="center"/>
        <w:rPr>
          <w:b/>
          <w:bCs/>
          <w:sz w:val="52"/>
          <w:szCs w:val="52"/>
        </w:rPr>
      </w:pPr>
    </w:p>
    <w:p>
      <w:pPr>
        <w:pStyle w:val="18"/>
        <w:spacing w:line="300" w:lineRule="auto"/>
        <w:jc w:val="center"/>
        <w:rPr>
          <w:b/>
          <w:bCs/>
          <w:sz w:val="44"/>
          <w:szCs w:val="28"/>
        </w:rPr>
      </w:pPr>
    </w:p>
    <w:p>
      <w:pPr>
        <w:pStyle w:val="18"/>
        <w:spacing w:line="300" w:lineRule="auto"/>
        <w:jc w:val="center"/>
        <w:rPr>
          <w:rFonts w:hint="eastAsia" w:ascii="宋体" w:hAnsi="宋体"/>
          <w:b/>
          <w:bCs/>
          <w:sz w:val="30"/>
          <w:szCs w:val="30"/>
          <w:u w:val="single"/>
        </w:rPr>
      </w:pPr>
      <w:r>
        <w:rPr>
          <w:rFonts w:hint="eastAsia" w:ascii="宋体" w:hAnsi="宋体"/>
          <w:b/>
          <w:bCs/>
          <w:sz w:val="30"/>
          <w:szCs w:val="30"/>
        </w:rPr>
        <w:t>题目：</w:t>
      </w:r>
      <w:r>
        <w:rPr>
          <w:rFonts w:hint="eastAsia" w:ascii="宋体" w:hAnsi="宋体"/>
          <w:b/>
          <w:bCs/>
          <w:sz w:val="30"/>
          <w:szCs w:val="30"/>
          <w:u w:val="single"/>
        </w:rPr>
        <w:t>中国古代推类逻辑思想的发生与形成</w:t>
      </w:r>
    </w:p>
    <w:p>
      <w:pPr>
        <w:pStyle w:val="18"/>
        <w:spacing w:line="300" w:lineRule="auto"/>
        <w:jc w:val="center"/>
        <w:rPr>
          <w:rFonts w:hint="eastAsia" w:ascii="宋体" w:hAnsi="宋体"/>
          <w:b/>
          <w:bCs/>
          <w:sz w:val="30"/>
          <w:szCs w:val="30"/>
          <w:u w:val="single"/>
        </w:rPr>
      </w:pPr>
    </w:p>
    <w:p>
      <w:pPr>
        <w:pStyle w:val="18"/>
        <w:spacing w:line="300" w:lineRule="auto"/>
        <w:jc w:val="center"/>
        <w:rPr>
          <w:rFonts w:ascii="Times New Roman" w:hAnsi="Times New Roman" w:cs="Times New Roman"/>
          <w:bCs/>
          <w:sz w:val="15"/>
          <w:szCs w:val="15"/>
          <w:u w:val="single"/>
        </w:rPr>
      </w:pPr>
    </w:p>
    <w:tbl>
      <w:tblPr>
        <w:tblStyle w:val="16"/>
        <w:tblW w:w="419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2"/>
        <w:gridCol w:w="2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18"/>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学号：</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1</w:t>
            </w:r>
            <w:r>
              <w:rPr>
                <w:rFonts w:asciiTheme="minorEastAsia" w:hAnsiTheme="minorEastAsia"/>
                <w:b/>
                <w:sz w:val="28"/>
                <w:szCs w:val="28"/>
                <w:u w:val="words"/>
              </w:rPr>
              <w:t>4113</w:t>
            </w:r>
            <w:r>
              <w:rPr>
                <w:rFonts w:hint="eastAsia" w:asciiTheme="minorEastAsia" w:hAnsiTheme="minorEastAsia"/>
                <w:b/>
                <w:sz w:val="28"/>
                <w:szCs w:val="28"/>
                <w:u w:val="words"/>
                <w:lang w:val="en-US" w:eastAsia="zh-CN"/>
              </w:rPr>
              <w:t>48</w:t>
            </w:r>
            <w:r>
              <w:rPr>
                <w:rFonts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18"/>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姓名：</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lang w:eastAsia="zh-CN"/>
              </w:rPr>
              <w:t>胡晓晓</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18"/>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年级：</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2014 </w:t>
            </w:r>
            <w:r>
              <w:rPr>
                <w:rFonts w:hint="eastAsia" w:asciiTheme="minorEastAsia" w:hAnsiTheme="minorEastAsia"/>
                <w:b/>
                <w:sz w:val="28"/>
                <w:szCs w:val="28"/>
                <w:u w:val="single"/>
              </w:rPr>
              <w:t>级</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18"/>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专业：</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rPr>
              <w:t>逻辑学</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18"/>
              <w:spacing w:line="300" w:lineRule="auto"/>
              <w:jc w:val="distribute"/>
              <w:rPr>
                <w:rFonts w:asciiTheme="minorEastAsia" w:hAnsiTheme="minorEastAsia" w:eastAsiaTheme="minorEastAsia"/>
                <w:b/>
                <w:bCs/>
                <w:sz w:val="28"/>
                <w:szCs w:val="28"/>
              </w:rPr>
            </w:pPr>
            <w:r>
              <w:rPr>
                <w:rFonts w:hint="eastAsia" w:asciiTheme="minorEastAsia" w:hAnsiTheme="minorEastAsia" w:eastAsiaTheme="minorEastAsia"/>
                <w:b/>
                <w:bCs/>
                <w:sz w:val="28"/>
                <w:szCs w:val="28"/>
              </w:rPr>
              <w:t>学院：</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rPr>
              <w:t>哲学院</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622" w:type="dxa"/>
            <w:vAlign w:val="bottom"/>
          </w:tcPr>
          <w:p>
            <w:pPr>
              <w:pStyle w:val="18"/>
              <w:spacing w:line="300" w:lineRule="auto"/>
              <w:jc w:val="distribute"/>
              <w:rPr>
                <w:rFonts w:asciiTheme="minorEastAsia" w:hAnsiTheme="minorEastAsia" w:eastAsiaTheme="minorEastAsia"/>
                <w:b/>
                <w:sz w:val="28"/>
                <w:szCs w:val="28"/>
                <w:u w:val="single"/>
              </w:rPr>
            </w:pPr>
            <w:r>
              <w:rPr>
                <w:rFonts w:hint="eastAsia" w:asciiTheme="minorEastAsia" w:hAnsiTheme="minorEastAsia" w:eastAsiaTheme="minorEastAsia"/>
                <w:b/>
                <w:bCs/>
                <w:sz w:val="28"/>
                <w:szCs w:val="28"/>
              </w:rPr>
              <w:t>指导教师：</w:t>
            </w:r>
          </w:p>
        </w:tc>
        <w:tc>
          <w:tcPr>
            <w:tcW w:w="2572" w:type="dxa"/>
            <w:vAlign w:val="bottom"/>
          </w:tcPr>
          <w:p>
            <w:pPr>
              <w:rPr>
                <w:rFonts w:asciiTheme="minorEastAsia" w:hAnsiTheme="minorEastAsia"/>
                <w:b/>
                <w:sz w:val="28"/>
                <w:szCs w:val="28"/>
                <w:u w:val="single"/>
              </w:rPr>
            </w:pPr>
            <w:r>
              <w:rPr>
                <w:rFonts w:asciiTheme="minorEastAsia" w:hAnsiTheme="minorEastAsia"/>
                <w:b/>
                <w:sz w:val="28"/>
                <w:szCs w:val="28"/>
                <w:u w:val="single"/>
              </w:rPr>
              <w:t xml:space="preserve">   </w:t>
            </w:r>
            <w:r>
              <w:rPr>
                <w:rFonts w:hint="eastAsia" w:asciiTheme="minorEastAsia" w:hAnsiTheme="minorEastAsia"/>
                <w:b/>
                <w:sz w:val="28"/>
                <w:szCs w:val="28"/>
                <w:u w:val="single"/>
                <w:lang w:eastAsia="zh-CN"/>
              </w:rPr>
              <w:t>田立刚</w:t>
            </w:r>
            <w:r>
              <w:rPr>
                <w:rFonts w:hint="eastAsia" w:asciiTheme="minorEastAsia" w:hAnsiTheme="minorEastAsia"/>
                <w:b/>
                <w:sz w:val="28"/>
                <w:szCs w:val="28"/>
                <w:u w:val="single"/>
              </w:rPr>
              <w:t xml:space="preserve"> 教授 </w:t>
            </w:r>
            <w:r>
              <w:rPr>
                <w:rFonts w:asciiTheme="minorEastAsia" w:hAnsiTheme="minorEastAsia"/>
                <w:b/>
                <w:sz w:val="28"/>
                <w:szCs w:val="28"/>
                <w:u w:val="single"/>
              </w:rPr>
              <w:t xml:space="preserve">   </w:t>
            </w:r>
            <w:r>
              <w:rPr>
                <w:rFonts w:hint="eastAsia" w:asciiTheme="minorEastAsia" w:hAnsiTheme="minorEastAsia"/>
                <w:b/>
                <w:sz w:val="28"/>
                <w:szCs w:val="28"/>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48" w:hRule="atLeast"/>
          <w:jc w:val="center"/>
        </w:trPr>
        <w:tc>
          <w:tcPr>
            <w:tcW w:w="1622" w:type="dxa"/>
          </w:tcPr>
          <w:p>
            <w:pPr>
              <w:pStyle w:val="18"/>
              <w:spacing w:line="300" w:lineRule="auto"/>
              <w:jc w:val="center"/>
              <w:rPr>
                <w:rFonts w:asciiTheme="minorEastAsia" w:hAnsiTheme="minorEastAsia" w:eastAsiaTheme="minorEastAsia"/>
                <w:b/>
                <w:sz w:val="28"/>
                <w:szCs w:val="28"/>
                <w:u w:val="single"/>
              </w:rPr>
            </w:pPr>
            <w:r>
              <w:rPr>
                <w:rFonts w:hint="eastAsia" w:asciiTheme="minorEastAsia" w:hAnsiTheme="minorEastAsia" w:eastAsiaTheme="minorEastAsia"/>
                <w:b/>
                <w:bCs/>
                <w:sz w:val="28"/>
                <w:szCs w:val="28"/>
              </w:rPr>
              <w:t>完成日期：</w:t>
            </w:r>
          </w:p>
        </w:tc>
        <w:tc>
          <w:tcPr>
            <w:tcW w:w="2572" w:type="dxa"/>
          </w:tcPr>
          <w:p>
            <w:pPr>
              <w:rPr>
                <w:rFonts w:asciiTheme="minorEastAsia" w:hAnsiTheme="minorEastAsia"/>
                <w:b/>
                <w:sz w:val="28"/>
                <w:szCs w:val="28"/>
                <w:u w:val="single"/>
              </w:rPr>
            </w:pPr>
            <w:r>
              <w:rPr>
                <w:rFonts w:asciiTheme="minorEastAsia" w:hAnsiTheme="minorEastAsia"/>
                <w:b/>
                <w:sz w:val="28"/>
                <w:szCs w:val="28"/>
                <w:u w:val="single"/>
              </w:rPr>
              <w:t>2</w:t>
            </w:r>
            <w:r>
              <w:rPr>
                <w:rFonts w:asciiTheme="minorEastAsia" w:hAnsiTheme="minorEastAsia"/>
                <w:b/>
                <w:sz w:val="28"/>
                <w:szCs w:val="28"/>
                <w:u w:val="words"/>
              </w:rPr>
              <w:t>017</w:t>
            </w:r>
            <w:r>
              <w:rPr>
                <w:rFonts w:hint="eastAsia" w:asciiTheme="minorEastAsia" w:hAnsiTheme="minorEastAsia"/>
                <w:b/>
                <w:sz w:val="28"/>
                <w:szCs w:val="28"/>
                <w:u w:val="words"/>
              </w:rPr>
              <w:t>年</w:t>
            </w:r>
            <w:r>
              <w:rPr>
                <w:rFonts w:asciiTheme="minorEastAsia" w:hAnsiTheme="minorEastAsia"/>
                <w:b/>
                <w:sz w:val="28"/>
                <w:szCs w:val="28"/>
                <w:u w:val="words"/>
              </w:rPr>
              <w:t>4</w:t>
            </w:r>
            <w:r>
              <w:rPr>
                <w:rFonts w:hint="eastAsia" w:asciiTheme="minorEastAsia" w:hAnsiTheme="minorEastAsia"/>
                <w:b/>
                <w:sz w:val="28"/>
                <w:szCs w:val="28"/>
                <w:u w:val="words"/>
              </w:rPr>
              <w:t>月20日</w:t>
            </w:r>
            <w:r>
              <w:rPr>
                <w:rFonts w:asciiTheme="minorEastAsia" w:hAnsiTheme="minorEastAsia"/>
                <w:b/>
                <w:sz w:val="28"/>
                <w:szCs w:val="28"/>
                <w:u w:val="single"/>
              </w:rPr>
              <w:t xml:space="preserve">  </w:t>
            </w:r>
          </w:p>
        </w:tc>
      </w:tr>
    </w:tbl>
    <w:p/>
    <w:p>
      <w:pPr>
        <w:widowControl/>
        <w:spacing w:line="300" w:lineRule="auto"/>
        <w:jc w:val="center"/>
        <w:rPr>
          <w:rFonts w:ascii="宋体" w:hAnsi="宋体" w:eastAsia="宋体" w:cs="宋体"/>
          <w:b/>
          <w:bCs/>
          <w:kern w:val="0"/>
          <w:sz w:val="72"/>
          <w:szCs w:val="72"/>
        </w:rPr>
        <w:sectPr>
          <w:headerReference r:id="rId4" w:type="default"/>
          <w:footnotePr>
            <w:numFmt w:val="decimal"/>
            <w:numRestart w:val="eachPage"/>
          </w:footnotePr>
          <w:pgSz w:w="11906" w:h="16838"/>
          <w:pgMar w:top="2154" w:right="1814" w:bottom="2154" w:left="1814" w:header="851" w:footer="992" w:gutter="0"/>
          <w:pgNumType w:fmt="decimal"/>
          <w:cols w:space="0" w:num="1"/>
          <w:titlePg/>
          <w:rtlGutter w:val="0"/>
          <w:docGrid w:type="lines" w:linePitch="313" w:charSpace="0"/>
        </w:sectPr>
      </w:pPr>
    </w:p>
    <w:p>
      <w:pPr>
        <w:widowControl/>
        <w:spacing w:line="300" w:lineRule="auto"/>
        <w:jc w:val="center"/>
        <w:rPr>
          <w:rFonts w:ascii="宋体" w:hAnsi="宋体" w:eastAsia="宋体" w:cs="宋体"/>
          <w:b/>
          <w:bCs/>
          <w:kern w:val="0"/>
          <w:sz w:val="72"/>
          <w:szCs w:val="72"/>
        </w:rPr>
      </w:pPr>
    </w:p>
    <w:p>
      <w:pPr>
        <w:widowControl/>
        <w:spacing w:line="300" w:lineRule="auto"/>
        <w:jc w:val="center"/>
        <w:rPr>
          <w:rFonts w:ascii="宋体" w:hAnsi="宋体" w:eastAsia="宋体" w:cs="宋体"/>
          <w:b/>
          <w:bCs/>
          <w:kern w:val="0"/>
          <w:sz w:val="72"/>
          <w:szCs w:val="72"/>
        </w:rPr>
      </w:pPr>
    </w:p>
    <w:p>
      <w:pPr>
        <w:widowControl/>
        <w:spacing w:line="300" w:lineRule="auto"/>
        <w:jc w:val="center"/>
        <w:rPr>
          <w:rFonts w:hint="eastAsia" w:ascii="Calibri" w:hAnsi="Calibri" w:eastAsia="宋体" w:cs="宋体"/>
          <w:kern w:val="0"/>
          <w:sz w:val="72"/>
          <w:szCs w:val="72"/>
          <w:lang w:eastAsia="zh-CN"/>
        </w:rPr>
      </w:pPr>
      <w:r>
        <w:rPr>
          <w:rFonts w:hint="eastAsia" w:ascii="宋体" w:hAnsi="宋体" w:eastAsia="宋体" w:cs="宋体"/>
          <w:b/>
          <w:bCs/>
          <w:kern w:val="0"/>
          <w:sz w:val="72"/>
          <w:szCs w:val="72"/>
          <w:lang w:val="en-US" w:eastAsia="zh-CN"/>
        </w:rPr>
        <w:t>Nankai University</w:t>
      </w:r>
    </w:p>
    <w:p>
      <w:pPr>
        <w:widowControl/>
        <w:spacing w:line="300" w:lineRule="auto"/>
        <w:jc w:val="center"/>
        <w:rPr>
          <w:rFonts w:ascii="Calibri" w:hAnsi="Calibri" w:eastAsia="宋体" w:cs="宋体"/>
          <w:kern w:val="0"/>
          <w:szCs w:val="21"/>
        </w:rPr>
      </w:pPr>
    </w:p>
    <w:p>
      <w:pPr>
        <w:pStyle w:val="18"/>
        <w:spacing w:line="300" w:lineRule="auto"/>
        <w:jc w:val="center"/>
        <w:rPr>
          <w:rFonts w:hint="eastAsia" w:eastAsia="宋体"/>
          <w:b/>
          <w:bCs/>
          <w:sz w:val="52"/>
          <w:szCs w:val="52"/>
          <w:lang w:eastAsia="zh-CN"/>
        </w:rPr>
      </w:pPr>
      <w:r>
        <w:rPr>
          <w:rFonts w:hint="eastAsia" w:ascii="宋体" w:hAnsi="宋体" w:cs="宋体"/>
          <w:b/>
          <w:bCs/>
          <w:kern w:val="0"/>
          <w:sz w:val="52"/>
          <w:szCs w:val="52"/>
          <w:lang w:val="en-US" w:eastAsia="zh-CN"/>
        </w:rPr>
        <w:t>ACADEMIC YEAR THESIS</w:t>
      </w:r>
    </w:p>
    <w:p>
      <w:pPr>
        <w:pStyle w:val="18"/>
        <w:spacing w:line="300" w:lineRule="auto"/>
        <w:jc w:val="center"/>
        <w:rPr>
          <w:b/>
          <w:bCs/>
          <w:sz w:val="44"/>
          <w:szCs w:val="28"/>
        </w:rPr>
      </w:pPr>
    </w:p>
    <w:p>
      <w:pPr>
        <w:pStyle w:val="18"/>
        <w:spacing w:line="300" w:lineRule="auto"/>
        <w:jc w:val="center"/>
        <w:rPr>
          <w:rFonts w:ascii="宋体" w:hAnsi="宋体"/>
          <w:b/>
          <w:bCs/>
          <w:sz w:val="32"/>
          <w:szCs w:val="32"/>
          <w:u w:val="single"/>
        </w:rPr>
      </w:pPr>
      <w:r>
        <w:rPr>
          <w:rFonts w:hint="eastAsia" w:ascii="宋体" w:hAnsi="宋体"/>
          <w:b/>
          <w:bCs/>
          <w:sz w:val="32"/>
          <w:szCs w:val="32"/>
          <w:u w:val="single"/>
        </w:rPr>
        <w:t>The Occurrence and Formation of Analogous Inference Logic in Ancient China</w:t>
      </w:r>
    </w:p>
    <w:p>
      <w:pPr>
        <w:pStyle w:val="18"/>
        <w:spacing w:line="300" w:lineRule="auto"/>
        <w:jc w:val="center"/>
        <w:rPr>
          <w:rFonts w:ascii="Times New Roman" w:hAnsi="Times New Roman" w:cs="Times New Roman"/>
          <w:bCs/>
          <w:sz w:val="15"/>
          <w:szCs w:val="15"/>
          <w:u w:val="single"/>
        </w:rPr>
      </w:pPr>
    </w:p>
    <w:p>
      <w:pPr>
        <w:pStyle w:val="18"/>
        <w:spacing w:line="300" w:lineRule="auto"/>
        <w:jc w:val="center"/>
        <w:rPr>
          <w:rFonts w:ascii="Times New Roman" w:hAnsi="Times New Roman" w:cs="Times New Roman"/>
          <w:bCs/>
          <w:sz w:val="15"/>
          <w:szCs w:val="15"/>
          <w:u w:val="single"/>
        </w:rPr>
      </w:pPr>
    </w:p>
    <w:p>
      <w:pPr>
        <w:pStyle w:val="18"/>
        <w:spacing w:line="300" w:lineRule="auto"/>
        <w:jc w:val="center"/>
        <w:rPr>
          <w:rFonts w:ascii="Times New Roman" w:hAnsi="Times New Roman" w:cs="Times New Roman"/>
          <w:bCs/>
          <w:sz w:val="15"/>
          <w:szCs w:val="15"/>
          <w:u w:val="single"/>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28"/>
          <w:szCs w:val="28"/>
          <w:u w:val="single"/>
        </w:rPr>
      </w:pP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Student ID：</w:t>
      </w: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u w:val="single"/>
        </w:rPr>
        <w:t>14113</w:t>
      </w:r>
      <w:r>
        <w:rPr>
          <w:rFonts w:hint="eastAsia" w:asciiTheme="minorEastAsia" w:hAnsiTheme="minorEastAsia" w:cstheme="minorEastAsia"/>
          <w:b/>
          <w:bCs/>
          <w:sz w:val="28"/>
          <w:szCs w:val="28"/>
          <w:u w:val="single"/>
          <w:lang w:val="en-US" w:eastAsia="zh-CN"/>
        </w:rPr>
        <w:t>48</w:t>
      </w:r>
      <w:r>
        <w:rPr>
          <w:rFonts w:hint="eastAsia" w:asciiTheme="minorEastAsia" w:hAnsiTheme="minorEastAsia" w:eastAsiaTheme="minorEastAsia" w:cstheme="minorEastAsia"/>
          <w:b/>
          <w:bCs/>
          <w:sz w:val="28"/>
          <w:szCs w:val="28"/>
          <w:u w:val="single"/>
        </w:rPr>
        <w:t xml:space="preserve">    </w:t>
      </w:r>
      <w:r>
        <w:rPr>
          <w:rFonts w:hint="eastAsia" w:asciiTheme="minorEastAsia" w:hAnsiTheme="minorEastAsia" w:cstheme="minorEastAsia"/>
          <w:b/>
          <w:bCs/>
          <w:sz w:val="28"/>
          <w:szCs w:val="28"/>
          <w:u w:val="single"/>
          <w:lang w:val="en-US" w:eastAsia="zh-CN"/>
        </w:rPr>
        <w:t xml:space="preserve">         </w:t>
      </w:r>
      <w:r>
        <w:rPr>
          <w:rFonts w:hint="eastAsia" w:asciiTheme="minorEastAsia" w:hAnsiTheme="minorEastAsia" w:eastAsiaTheme="minorEastAsia" w:cstheme="minorEastAsia"/>
          <w:b/>
          <w:bCs/>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28"/>
          <w:szCs w:val="28"/>
          <w:u w:val="single"/>
        </w:rPr>
      </w:pP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Name：</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t xml:space="preserve">     </w:t>
      </w: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u w:val="single"/>
        </w:rPr>
        <w:t>Hu</w:t>
      </w:r>
      <w:r>
        <w:rPr>
          <w:rFonts w:hint="eastAsia" w:asciiTheme="minorEastAsia" w:hAnsiTheme="minorEastAsia" w:cstheme="minorEastAsia"/>
          <w:b/>
          <w:bCs/>
          <w:sz w:val="28"/>
          <w:szCs w:val="28"/>
          <w:u w:val="single"/>
          <w:lang w:val="en-US" w:eastAsia="zh-CN"/>
        </w:rPr>
        <w:t xml:space="preserve"> </w:t>
      </w:r>
      <w:r>
        <w:rPr>
          <w:rFonts w:hint="eastAsia" w:asciiTheme="minorEastAsia" w:hAnsiTheme="minorEastAsia" w:eastAsiaTheme="minorEastAsia" w:cstheme="minorEastAsia"/>
          <w:b/>
          <w:bCs/>
          <w:sz w:val="28"/>
          <w:szCs w:val="28"/>
          <w:u w:val="single"/>
        </w:rPr>
        <w:t xml:space="preserve">Xiaoxiao   </w:t>
      </w:r>
      <w:r>
        <w:rPr>
          <w:rFonts w:hint="eastAsia" w:asciiTheme="minorEastAsia" w:hAnsiTheme="minorEastAsia" w:cstheme="minorEastAsia"/>
          <w:b/>
          <w:bCs/>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28"/>
          <w:szCs w:val="28"/>
          <w:u w:val="single"/>
        </w:rPr>
      </w:pP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Grade：</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t xml:space="preserve">     </w:t>
      </w: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u w:val="single"/>
        </w:rPr>
        <w:t xml:space="preserve">2014     </w:t>
      </w:r>
      <w:r>
        <w:rPr>
          <w:rFonts w:hint="eastAsia" w:asciiTheme="minorEastAsia" w:hAnsiTheme="minorEastAsia" w:cstheme="minorEastAsia"/>
          <w:b/>
          <w:bCs/>
          <w:sz w:val="28"/>
          <w:szCs w:val="28"/>
          <w:u w:val="single"/>
          <w:lang w:val="en-US" w:eastAsia="zh-CN"/>
        </w:rPr>
        <w:t xml:space="preserve">          </w:t>
      </w:r>
      <w:r>
        <w:rPr>
          <w:rFonts w:hint="eastAsia" w:asciiTheme="minorEastAsia" w:hAnsiTheme="minorEastAsia" w:eastAsiaTheme="minorEastAsia" w:cstheme="minorEastAsia"/>
          <w:b/>
          <w:bCs/>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28"/>
          <w:szCs w:val="28"/>
          <w:u w:val="single"/>
        </w:rPr>
      </w:pP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Specialty：</w:t>
      </w: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u w:val="single"/>
        </w:rPr>
        <w:t xml:space="preserve">Logic     </w:t>
      </w:r>
      <w:r>
        <w:rPr>
          <w:rFonts w:hint="eastAsia" w:asciiTheme="minorEastAsia" w:hAnsiTheme="minorEastAsia" w:cstheme="minorEastAsia"/>
          <w:b/>
          <w:bCs/>
          <w:sz w:val="28"/>
          <w:szCs w:val="28"/>
          <w:u w:val="single"/>
          <w:lang w:val="en-US" w:eastAsia="zh-CN"/>
        </w:rPr>
        <w:t xml:space="preserve">         </w:t>
      </w:r>
      <w:r>
        <w:rPr>
          <w:rFonts w:hint="eastAsia" w:asciiTheme="minorEastAsia" w:hAnsiTheme="minorEastAsia" w:eastAsiaTheme="minorEastAsia" w:cstheme="minorEastAsia"/>
          <w:b/>
          <w:bCs/>
          <w:sz w:val="28"/>
          <w:szCs w:val="28"/>
          <w:u w:val="single"/>
        </w:rPr>
        <w:t xml:space="preserve"> </w:t>
      </w:r>
      <w:r>
        <w:rPr>
          <w:rFonts w:hint="eastAsia" w:asciiTheme="minorEastAsia" w:hAnsiTheme="minorEastAsia" w:cstheme="minorEastAsia"/>
          <w:b/>
          <w:bCs/>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Theme="minorEastAsia" w:hAnsiTheme="minorEastAsia" w:eastAsiaTheme="minorEastAsia" w:cstheme="minorEastAsia"/>
          <w:b/>
          <w:bCs/>
          <w:sz w:val="28"/>
          <w:szCs w:val="28"/>
          <w:u w:val="single"/>
        </w:rPr>
      </w:pP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College：</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t xml:space="preserve">  </w:t>
      </w: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u w:val="single"/>
        </w:rPr>
        <w:t xml:space="preserve">Philosophy    </w:t>
      </w:r>
      <w:r>
        <w:rPr>
          <w:rFonts w:hint="eastAsia" w:asciiTheme="minorEastAsia" w:hAnsiTheme="minorEastAsia" w:cstheme="minorEastAsia"/>
          <w:b/>
          <w:bCs/>
          <w:sz w:val="28"/>
          <w:szCs w:val="28"/>
          <w:u w:val="single"/>
          <w:lang w:val="en-US" w:eastAsia="zh-CN"/>
        </w:rPr>
        <w:t xml:space="preserve">   </w:t>
      </w:r>
      <w:r>
        <w:rPr>
          <w:rFonts w:hint="eastAsia" w:asciiTheme="minorEastAsia" w:hAnsiTheme="minorEastAsia" w:eastAsiaTheme="minorEastAsia" w:cstheme="minorEastAsia"/>
          <w:b/>
          <w:bCs/>
          <w:sz w:val="28"/>
          <w:szCs w:val="28"/>
          <w:u w:val="single"/>
        </w:rPr>
        <w:t xml:space="preserve">   </w:t>
      </w:r>
      <w:r>
        <w:rPr>
          <w:rFonts w:hint="eastAsia" w:asciiTheme="minorEastAsia" w:hAnsiTheme="minorEastAsia" w:cstheme="minorEastAsia"/>
          <w:b/>
          <w:bCs/>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Supervisor：</w:t>
      </w:r>
      <w:r>
        <w:rPr>
          <w:rFonts w:hint="eastAsia" w:asciiTheme="minorEastAsia" w:hAnsi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u w:val="single"/>
        </w:rPr>
        <w:t>Professor Tian Ligang</w:t>
      </w:r>
      <w:r>
        <w:rPr>
          <w:rFonts w:hint="eastAsia" w:asciiTheme="minorEastAsia" w:hAnsiTheme="minorEastAsia" w:eastAsiaTheme="minorEastAsia" w:cstheme="minorEastAsia"/>
          <w:b/>
          <w:bCs/>
          <w:sz w:val="28"/>
          <w:szCs w:val="28"/>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Theme="minorEastAsia" w:hAnsiTheme="minorEastAsia" w:eastAsiaTheme="minorEastAsia" w:cstheme="minorEastAsia"/>
          <w:b/>
          <w:bCs/>
          <w:sz w:val="28"/>
          <w:szCs w:val="28"/>
          <w:u w:val="single"/>
        </w:rPr>
      </w:pP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Completion Date</w:t>
      </w:r>
      <w:r>
        <w:rPr>
          <w:rFonts w:hint="eastAsia" w:asciiTheme="minorEastAsia" w:hAnsiTheme="minorEastAsia" w:eastAsiaTheme="minorEastAsia" w:cstheme="minorEastAsia"/>
          <w:b/>
          <w:bCs/>
          <w:sz w:val="28"/>
          <w:szCs w:val="28"/>
          <w:lang w:val="en-US" w:eastAsia="zh-CN"/>
        </w:rPr>
        <w:t>:</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u w:val="single"/>
        </w:rPr>
        <w:t xml:space="preserve">April 20th,2017  </w:t>
      </w:r>
      <w:r>
        <w:rPr>
          <w:rFonts w:hint="eastAsia" w:asciiTheme="minorEastAsia" w:hAnsiTheme="minorEastAsia" w:cstheme="minorEastAsia"/>
          <w:b/>
          <w:bCs/>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eastAsia" w:ascii="黑体" w:hAnsi="黑体" w:eastAsia="黑体" w:cs="黑体"/>
          <w:b/>
          <w:bCs/>
          <w:sz w:val="36"/>
          <w:szCs w:val="36"/>
        </w:rPr>
      </w:pP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eastAsia" w:ascii="黑体" w:hAnsi="黑体" w:eastAsia="黑体" w:cs="黑体"/>
          <w:b/>
          <w:bCs/>
          <w:sz w:val="36"/>
          <w:szCs w:val="36"/>
        </w:rPr>
        <w:sectPr>
          <w:headerReference r:id="rId5" w:type="default"/>
          <w:footerReference r:id="rId6" w:type="default"/>
          <w:footnotePr>
            <w:numFmt w:val="decimal"/>
            <w:numRestart w:val="eachPage"/>
          </w:footnotePr>
          <w:pgSz w:w="11906" w:h="16838"/>
          <w:pgMar w:top="2154" w:right="1814" w:bottom="2154" w:left="1814" w:header="851" w:footer="992" w:gutter="0"/>
          <w:pgNumType w:fmt="decimal"/>
          <w:cols w:space="0" w:num="1"/>
          <w:rtlGutter w:val="0"/>
          <w:docGrid w:type="lines" w:linePitch="313" w:charSpace="0"/>
        </w:sectPr>
      </w:pP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eastAsia" w:ascii="黑体" w:hAnsi="黑体" w:eastAsia="黑体" w:cs="黑体"/>
          <w:b/>
          <w:bCs/>
          <w:sz w:val="36"/>
          <w:szCs w:val="36"/>
        </w:rPr>
      </w:pP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ascii="黑体" w:hAnsi="黑体" w:eastAsia="黑体" w:cs="黑体"/>
          <w:b/>
          <w:bCs/>
          <w:sz w:val="36"/>
          <w:szCs w:val="36"/>
        </w:rPr>
      </w:pPr>
      <w:r>
        <w:rPr>
          <w:rFonts w:hint="eastAsia" w:ascii="黑体" w:hAnsi="黑体" w:eastAsia="黑体" w:cs="黑体"/>
          <w:b/>
          <w:bCs/>
          <w:sz w:val="36"/>
          <w:szCs w:val="36"/>
        </w:rPr>
        <w:t>中国古代推类逻辑思想的发生与形成</w:t>
      </w: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eastAsia="zh-CN"/>
        </w:rPr>
      </w:pPr>
      <w:r>
        <w:rPr>
          <w:rFonts w:hint="eastAsia" w:ascii="黑体" w:hAnsi="黑体" w:eastAsia="黑体" w:cs="黑体"/>
          <w:sz w:val="28"/>
          <w:szCs w:val="28"/>
          <w:lang w:eastAsia="zh-CN"/>
        </w:rPr>
        <w:t>摘</w:t>
      </w:r>
      <w:r>
        <w:rPr>
          <w:rFonts w:hint="eastAsia" w:ascii="黑体" w:hAnsi="黑体" w:eastAsia="黑体" w:cs="黑体"/>
          <w:sz w:val="28"/>
          <w:szCs w:val="28"/>
          <w:lang w:val="en-US" w:eastAsia="zh-CN"/>
        </w:rPr>
        <w:t xml:space="preserve">  </w:t>
      </w:r>
      <w:r>
        <w:rPr>
          <w:rFonts w:hint="eastAsia" w:ascii="黑体" w:hAnsi="黑体" w:eastAsia="黑体" w:cs="黑体"/>
          <w:sz w:val="28"/>
          <w:szCs w:val="28"/>
          <w:lang w:eastAsia="zh-CN"/>
        </w:rPr>
        <w:t>要：</w:t>
      </w:r>
      <w:r>
        <w:rPr>
          <w:rFonts w:hint="eastAsia" w:ascii="宋体" w:hAnsi="宋体" w:eastAsia="宋体" w:cs="宋体"/>
          <w:sz w:val="24"/>
          <w:szCs w:val="24"/>
          <w:lang w:eastAsia="zh-CN"/>
        </w:rPr>
        <w:t>本文将通过对“类”观念酝酿到萌芽，先秦诸子的推类思想，以及《墨辩》中推类思想的论述，梳理中国古代推类逻辑思想的发展历史脉络，探讨推类逻辑思想“是什么，为什么和怎么样”的问题。“是什么”指中国古代推类逻辑思想的内容、特点和地位，以及其理论体系与发展演变，如先秦诸子的推类思想，推类观的成熟，《墨辩》三物逻辑中的推类思想。“为什么”指中国古代推类逻辑的推论依据和形成条件，主要是类观念作为逻辑范畴被提出和使用，推类意识在论辩活动中走向成熟。“怎么样”指中国古代推类逻辑思想的应用及其谬误分析。作为中国逻辑主导推理类型的推类，经过了“类”概念的酝酿和发展，“推类”意识的萌芽和成熟，“推类”论证模式的建构与完善，它的形成和定型是由后期墨家完成的。《墨辩》立辞“三物逻辑”的理论体系以《小取》为纲要，围绕“故”、“理”、“类”展开，具有鲜明的民族特色，代表着中国古代推类逻辑思想的最高成就。</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黑体" w:hAnsi="黑体" w:eastAsia="黑体" w:cs="黑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黑体" w:hAnsi="黑体" w:eastAsia="黑体" w:cs="黑体"/>
          <w:sz w:val="28"/>
          <w:szCs w:val="28"/>
          <w:lang w:eastAsia="zh-CN"/>
        </w:rPr>
        <w:t>关键词：</w:t>
      </w:r>
      <w:r>
        <w:rPr>
          <w:rFonts w:hint="eastAsia" w:ascii="宋体" w:hAnsi="宋体" w:eastAsia="宋体" w:cs="宋体"/>
          <w:sz w:val="24"/>
          <w:szCs w:val="24"/>
          <w:lang w:eastAsia="zh-CN"/>
        </w:rPr>
        <w:t>类</w:t>
      </w:r>
      <w:r>
        <w:rPr>
          <w:rFonts w:hint="eastAsia" w:ascii="宋体" w:hAnsi="宋体" w:eastAsia="宋体" w:cs="宋体"/>
          <w:sz w:val="24"/>
          <w:szCs w:val="24"/>
          <w:lang w:val="en-US" w:eastAsia="zh-CN"/>
        </w:rPr>
        <w:t xml:space="preserve">  推类  中国逻辑  推类逻辑  《墨辩》</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The Occurrence and Formation of Analogous Inference Logic in Ancient China</w:t>
      </w: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sz w:val="30"/>
          <w:szCs w:val="30"/>
          <w:highlight w:val="none"/>
          <w:lang w:val="en-US" w:eastAsia="zh-CN"/>
        </w:rPr>
      </w:pPr>
    </w:p>
    <w:p>
      <w:pPr>
        <w:pStyle w:val="4"/>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rPr>
          <w:rFonts w:hint="eastAsia" w:ascii="宋体" w:hAnsi="宋体" w:eastAsia="宋体" w:cs="宋体"/>
          <w:b w:val="0"/>
          <w:bCs w:val="0"/>
          <w:sz w:val="24"/>
          <w:szCs w:val="24"/>
          <w:lang w:val="en-US" w:eastAsia="zh-CN"/>
        </w:rPr>
      </w:pPr>
      <w:r>
        <w:rPr>
          <w:rFonts w:hint="default" w:ascii="Times New Roman" w:hAnsi="Times New Roman" w:cs="Times New Roman"/>
          <w:b/>
          <w:bCs/>
          <w:sz w:val="28"/>
          <w:szCs w:val="28"/>
        </w:rPr>
        <w:t>Abstract</w:t>
      </w:r>
      <w:r>
        <w:rPr>
          <w:rFonts w:hint="default" w:ascii="Times New Roman" w:hAnsi="Times New Roman" w:cs="Times New Roman"/>
          <w:b/>
          <w:bCs/>
          <w:sz w:val="28"/>
          <w:szCs w:val="28"/>
          <w:lang w:val="en-US" w:eastAsia="zh-CN"/>
        </w:rPr>
        <w:t>:</w:t>
      </w:r>
      <w:r>
        <w:rPr>
          <w:rFonts w:hint="eastAsia" w:ascii="Arial Black" w:hAnsi="Arial Black"/>
          <w:sz w:val="28"/>
          <w:szCs w:val="28"/>
          <w:lang w:val="en-US" w:eastAsia="zh-CN"/>
        </w:rPr>
        <w:t xml:space="preserve"> </w:t>
      </w:r>
      <w:r>
        <w:rPr>
          <w:rFonts w:hint="default" w:ascii="Times New Roman" w:hAnsi="Times New Roman" w:eastAsia="宋体" w:cs="Times New Roman"/>
          <w:b w:val="0"/>
          <w:bCs w:val="0"/>
          <w:sz w:val="24"/>
          <w:szCs w:val="24"/>
          <w:lang w:val="en-US" w:eastAsia="zh-CN"/>
        </w:rPr>
        <w:t xml:space="preserve">By discussing the idea of "Lei", the thought of inference put forward by the pre-Qin scholars, and the inference logical ideology in </w:t>
      </w:r>
      <w:r>
        <w:rPr>
          <w:rFonts w:hint="default" w:ascii="Times New Roman" w:hAnsi="Times New Roman" w:eastAsia="宋体" w:cs="Times New Roman"/>
          <w:b w:val="0"/>
          <w:bCs w:val="0"/>
          <w:i/>
          <w:iCs/>
          <w:sz w:val="24"/>
          <w:szCs w:val="24"/>
          <w:lang w:val="en-US" w:eastAsia="zh-CN"/>
        </w:rPr>
        <w:t>Mo Bian</w:t>
      </w:r>
      <w:r>
        <w:rPr>
          <w:rFonts w:hint="default" w:ascii="Times New Roman" w:hAnsi="Times New Roman" w:eastAsia="宋体" w:cs="Times New Roman"/>
          <w:b w:val="0"/>
          <w:bCs w:val="0"/>
          <w:sz w:val="24"/>
          <w:szCs w:val="24"/>
          <w:lang w:val="en-US" w:eastAsia="zh-CN"/>
        </w:rPr>
        <w:t xml:space="preserve">, this article will card the historical development of the ancient Chinese analogous inference logical ideology, and make a research on the problems “what”, “why” and “how” about ancient Chinese analogous inference logical ideology. "What" refers to the content, characteristics and status of the inference logical ideology, and its theoretical system and development, such as the inference ideology of the pre-Qin philosophers, the maturity of the inference notion, and the inference in the logic of San Wu. "Why" refers to the basis and formation conditions of the ancient Chinese analogous inference, mainly because the concept of “Lei” was put forward and used as a logical category, and inference consciousness has tended to mature in the debate activities. "How" refers to the application of the ancient Chinese analogous inference logical ideology and its fallacy analysis. As the primary type of reasoning in Chinese logic, the inference was formed and stereotyped by the later Mohist, after the brewing and development of the concept of "Lei", the budding and maturation of the inference consciousness, the construction and perfection of the inference demonstration model. The theoretical system of San Wu logic , which revolves around "Gu", "Li" and "Lei", has distinct </w:t>
      </w:r>
      <w:r>
        <w:rPr>
          <w:rFonts w:hint="eastAsia" w:ascii="Times New Roman" w:hAnsi="Times New Roman" w:eastAsia="宋体" w:cs="Times New Roman"/>
          <w:b w:val="0"/>
          <w:bCs w:val="0"/>
          <w:sz w:val="24"/>
          <w:szCs w:val="24"/>
          <w:lang w:val="en-US" w:eastAsia="zh-CN"/>
        </w:rPr>
        <w:t xml:space="preserve">national </w:t>
      </w:r>
      <w:r>
        <w:rPr>
          <w:rFonts w:hint="default" w:ascii="Times New Roman" w:hAnsi="Times New Roman" w:eastAsia="宋体" w:cs="Times New Roman"/>
          <w:b w:val="0"/>
          <w:bCs w:val="0"/>
          <w:sz w:val="24"/>
          <w:szCs w:val="24"/>
          <w:lang w:val="en-US" w:eastAsia="zh-CN"/>
        </w:rPr>
        <w:t xml:space="preserve">characteristics, which represents the highest achievement of ancient Chinese analogous inference logical ideology, took the </w:t>
      </w:r>
      <w:r>
        <w:rPr>
          <w:rFonts w:hint="default" w:ascii="Times New Roman" w:hAnsi="Times New Roman" w:eastAsia="宋体" w:cs="Times New Roman"/>
          <w:b w:val="0"/>
          <w:bCs w:val="0"/>
          <w:i/>
          <w:iCs/>
          <w:sz w:val="24"/>
          <w:szCs w:val="24"/>
          <w:lang w:val="en-US" w:eastAsia="zh-CN"/>
        </w:rPr>
        <w:t>Xiao Qu</w:t>
      </w:r>
      <w:r>
        <w:rPr>
          <w:rFonts w:hint="default" w:ascii="Times New Roman" w:hAnsi="Times New Roman" w:eastAsia="宋体" w:cs="Times New Roman"/>
          <w:b w:val="0"/>
          <w:bCs w:val="0"/>
          <w:sz w:val="24"/>
          <w:szCs w:val="24"/>
          <w:lang w:val="en-US" w:eastAsia="zh-CN"/>
        </w:rPr>
        <w:t xml:space="preserve"> as the outline.</w:t>
      </w: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b/>
          <w:bCs/>
          <w:sz w:val="24"/>
          <w:szCs w:val="24"/>
          <w:lang w:val="en-US" w:eastAsia="zh-CN"/>
        </w:rPr>
        <w:t>Key Words:</w:t>
      </w:r>
      <w:r>
        <w:rPr>
          <w:rFonts w:hint="eastAsia" w:ascii="宋体" w:hAnsi="宋体" w:eastAsia="宋体" w:cs="宋体"/>
          <w:b w:val="0"/>
          <w:bCs w:val="0"/>
          <w:lang w:val="en-US" w:eastAsia="zh-CN"/>
        </w:rPr>
        <w:t xml:space="preserve"> </w:t>
      </w:r>
      <w:r>
        <w:rPr>
          <w:rFonts w:hint="default" w:ascii="Times New Roman" w:hAnsi="Times New Roman" w:eastAsia="宋体" w:cs="Times New Roman"/>
          <w:b w:val="0"/>
          <w:bCs w:val="0"/>
          <w:sz w:val="24"/>
          <w:szCs w:val="24"/>
          <w:lang w:val="en-US" w:eastAsia="zh-CN"/>
        </w:rPr>
        <w:t xml:space="preserve">"Lei"category，analogous inference，Chinese Logic, </w:t>
      </w:r>
      <w:r>
        <w:rPr>
          <w:rFonts w:hint="default" w:ascii="Times New Roman" w:hAnsi="Times New Roman" w:eastAsia="宋体" w:cs="Times New Roman"/>
          <w:b w:val="0"/>
          <w:bCs w:val="0"/>
          <w:sz w:val="24"/>
          <w:szCs w:val="24"/>
          <w:highlight w:val="none"/>
          <w:lang w:val="en-US" w:eastAsia="zh-CN"/>
        </w:rPr>
        <w:t xml:space="preserve">inference, </w:t>
      </w:r>
      <w:r>
        <w:rPr>
          <w:rFonts w:hint="default" w:ascii="Times New Roman" w:hAnsi="Times New Roman" w:eastAsia="宋体" w:cs="Times New Roman"/>
          <w:b w:val="0"/>
          <w:bCs w:val="0"/>
          <w:i/>
          <w:iCs/>
          <w:sz w:val="24"/>
          <w:szCs w:val="24"/>
          <w:highlight w:val="none"/>
          <w:lang w:val="en-US" w:eastAsia="zh-CN"/>
        </w:rPr>
        <w:t>Mo Bian</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tabs>
          <w:tab w:val="left" w:pos="420"/>
          <w:tab w:val="center" w:pos="4479"/>
        </w:tabs>
        <w:kinsoku/>
        <w:wordWrap/>
        <w:overflowPunct/>
        <w:topLinePunct w:val="0"/>
        <w:autoSpaceDE/>
        <w:autoSpaceDN/>
        <w:bidi w:val="0"/>
        <w:adjustRightInd/>
        <w:snapToGrid/>
        <w:spacing w:line="360" w:lineRule="auto"/>
        <w:ind w:right="0" w:rightChars="0"/>
        <w:jc w:val="center"/>
        <w:textAlignment w:val="auto"/>
        <w:outlineLvl w:val="9"/>
        <w:rPr>
          <w:rFonts w:hint="eastAsia" w:ascii="黑体" w:hAnsi="黑体" w:eastAsia="黑体" w:cs="黑体"/>
          <w:b/>
          <w:bCs/>
          <w:sz w:val="48"/>
          <w:szCs w:val="48"/>
          <w:lang w:eastAsia="zh-CN"/>
        </w:rPr>
      </w:pPr>
      <w:r>
        <w:rPr>
          <w:rFonts w:hint="eastAsia" w:ascii="黑体" w:hAnsi="黑体" w:eastAsia="黑体" w:cs="黑体"/>
          <w:b/>
          <w:bCs/>
          <w:sz w:val="48"/>
          <w:szCs w:val="48"/>
          <w:lang w:eastAsia="zh-CN"/>
        </w:rPr>
        <w:t>目录</w:t>
      </w:r>
    </w:p>
    <w:p>
      <w:pPr>
        <w:keepNext w:val="0"/>
        <w:keepLines w:val="0"/>
        <w:pageBreakBefore w:val="0"/>
        <w:widowControl w:val="0"/>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val="0"/>
          <w:bCs w:val="0"/>
          <w:sz w:val="30"/>
          <w:szCs w:val="30"/>
          <w:lang w:eastAsia="zh-CN"/>
        </w:rPr>
      </w:pPr>
      <w:r>
        <w:rPr>
          <w:rFonts w:hint="eastAsia" w:ascii="宋体" w:hAnsi="宋体" w:eastAsia="宋体" w:cs="宋体"/>
          <w:b/>
          <w:bCs/>
          <w:sz w:val="30"/>
          <w:szCs w:val="30"/>
          <w:lang w:eastAsia="zh-CN"/>
        </w:rPr>
        <w:t>引言</w:t>
      </w:r>
      <w:r>
        <w:rPr>
          <w:rFonts w:hint="eastAsia" w:ascii="宋体" w:hAnsi="宋体" w:eastAsia="宋体" w:cs="宋体"/>
          <w:b w:val="0"/>
          <w:bCs w:val="0"/>
          <w:sz w:val="30"/>
          <w:szCs w:val="30"/>
          <w:lang w:val="en-US" w:eastAsia="zh-CN"/>
        </w:rPr>
        <w:t>..................................................6</w:t>
      </w:r>
    </w:p>
    <w:p>
      <w:pPr>
        <w:keepNext w:val="0"/>
        <w:keepLines w:val="0"/>
        <w:pageBreakBefore w:val="0"/>
        <w:widowControl w:val="0"/>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t>一、中国古代类观念的酝酿到萌芽</w:t>
      </w:r>
    </w:p>
    <w:p>
      <w:pPr>
        <w:keepNext w:val="0"/>
        <w:keepLines w:val="0"/>
        <w:pageBreakBefore w:val="0"/>
        <w:widowControl w:val="0"/>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楷体" w:hAnsi="楷体" w:eastAsia="楷体" w:cs="楷体"/>
          <w:b/>
          <w:bCs/>
          <w:sz w:val="28"/>
          <w:szCs w:val="28"/>
          <w:lang w:eastAsia="zh-CN"/>
        </w:rPr>
      </w:pPr>
      <w:r>
        <w:rPr>
          <w:rFonts w:hint="eastAsia" w:ascii="楷体" w:hAnsi="楷体" w:eastAsia="楷体" w:cs="楷体"/>
          <w:b/>
          <w:bCs/>
          <w:sz w:val="28"/>
          <w:szCs w:val="28"/>
          <w:lang w:val="en-US" w:eastAsia="zh-CN"/>
        </w:rPr>
        <w:t xml:space="preserve">    </w:t>
      </w:r>
      <w:r>
        <w:rPr>
          <w:rFonts w:hint="eastAsia" w:ascii="楷体" w:hAnsi="楷体" w:eastAsia="楷体" w:cs="楷体"/>
          <w:b/>
          <w:bCs/>
          <w:sz w:val="30"/>
          <w:szCs w:val="30"/>
          <w:lang w:eastAsia="zh-CN"/>
        </w:rPr>
        <w:t>——从特殊到一般的演进</w:t>
      </w:r>
      <w:r>
        <w:rPr>
          <w:rFonts w:hint="eastAsia" w:ascii="宋体" w:hAnsi="宋体" w:eastAsia="宋体" w:cs="宋体"/>
          <w:b w:val="0"/>
          <w:bCs w:val="0"/>
          <w:sz w:val="30"/>
          <w:szCs w:val="30"/>
          <w:lang w:val="en-US" w:eastAsia="zh-CN"/>
        </w:rPr>
        <w:t>............................7</w:t>
      </w:r>
    </w:p>
    <w:p>
      <w:pPr>
        <w:keepNext w:val="0"/>
        <w:keepLines w:val="0"/>
        <w:pageBreakBefore w:val="0"/>
        <w:widowControl w:val="0"/>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楷体" w:hAnsi="楷体" w:eastAsia="楷体" w:cs="楷体"/>
          <w:b/>
          <w:bCs/>
          <w:sz w:val="28"/>
          <w:szCs w:val="28"/>
          <w:lang w:eastAsia="zh-CN"/>
        </w:rPr>
      </w:pPr>
      <w:r>
        <w:rPr>
          <w:rFonts w:hint="eastAsia" w:ascii="宋体" w:hAnsi="宋体" w:eastAsia="宋体" w:cs="宋体"/>
          <w:b/>
          <w:bCs/>
          <w:sz w:val="30"/>
          <w:szCs w:val="30"/>
          <w:lang w:eastAsia="zh-CN"/>
        </w:rPr>
        <w:t>二、先秦诸子的推类思想</w:t>
      </w:r>
    </w:p>
    <w:p>
      <w:pPr>
        <w:keepNext w:val="0"/>
        <w:keepLines w:val="0"/>
        <w:pageBreakBefore w:val="0"/>
        <w:widowControl w:val="0"/>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楷体" w:hAnsi="楷体" w:eastAsia="楷体" w:cs="楷体"/>
          <w:b w:val="0"/>
          <w:bCs w:val="0"/>
          <w:sz w:val="30"/>
          <w:szCs w:val="30"/>
          <w:lang w:eastAsia="zh-CN"/>
        </w:rPr>
      </w:pPr>
      <w:r>
        <w:rPr>
          <w:rFonts w:hint="eastAsia" w:ascii="楷体" w:hAnsi="楷体" w:eastAsia="楷体" w:cs="楷体"/>
          <w:b/>
          <w:bCs/>
          <w:sz w:val="28"/>
          <w:szCs w:val="28"/>
          <w:lang w:val="en-US" w:eastAsia="zh-CN"/>
        </w:rPr>
        <w:t xml:space="preserve">    </w:t>
      </w:r>
      <w:r>
        <w:rPr>
          <w:rFonts w:hint="eastAsia" w:ascii="楷体" w:hAnsi="楷体" w:eastAsia="楷体" w:cs="楷体"/>
          <w:b/>
          <w:bCs/>
          <w:sz w:val="30"/>
          <w:szCs w:val="30"/>
          <w:lang w:eastAsia="zh-CN"/>
        </w:rPr>
        <w:t>——推类观在思维实践中的发展与成熟</w:t>
      </w:r>
      <w:r>
        <w:rPr>
          <w:rFonts w:hint="eastAsia" w:ascii="宋体" w:hAnsi="宋体" w:eastAsia="宋体" w:cs="宋体"/>
          <w:b w:val="0"/>
          <w:bCs w:val="0"/>
          <w:sz w:val="30"/>
          <w:szCs w:val="30"/>
          <w:lang w:val="en-US" w:eastAsia="zh-CN"/>
        </w:rPr>
        <w:t>...............11</w:t>
      </w:r>
    </w:p>
    <w:p>
      <w:pPr>
        <w:keepNext w:val="0"/>
        <w:keepLines w:val="0"/>
        <w:pageBreakBefore w:val="0"/>
        <w:widowControl w:val="0"/>
        <w:numPr>
          <w:ilvl w:val="0"/>
          <w:numId w:val="1"/>
        </w:numPr>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val="0"/>
          <w:bCs w:val="0"/>
          <w:sz w:val="30"/>
          <w:szCs w:val="30"/>
          <w:lang w:eastAsia="zh-CN"/>
        </w:rPr>
      </w:pPr>
      <w:r>
        <w:rPr>
          <w:rFonts w:hint="eastAsia" w:ascii="宋体" w:hAnsi="宋体" w:eastAsia="宋体" w:cs="宋体"/>
          <w:b w:val="0"/>
          <w:bCs w:val="0"/>
          <w:sz w:val="30"/>
          <w:szCs w:val="30"/>
          <w:lang w:eastAsia="zh-CN"/>
        </w:rPr>
        <w:t>孔子的类推，最初的推类意识和实践</w:t>
      </w:r>
      <w:r>
        <w:rPr>
          <w:rFonts w:hint="eastAsia" w:ascii="宋体" w:hAnsi="宋体" w:eastAsia="宋体" w:cs="宋体"/>
          <w:b w:val="0"/>
          <w:bCs w:val="0"/>
          <w:sz w:val="30"/>
          <w:szCs w:val="30"/>
          <w:lang w:val="en-US" w:eastAsia="zh-CN"/>
        </w:rPr>
        <w:t>..................11</w:t>
      </w:r>
    </w:p>
    <w:p>
      <w:pPr>
        <w:keepNext w:val="0"/>
        <w:keepLines w:val="0"/>
        <w:pageBreakBefore w:val="0"/>
        <w:widowControl w:val="0"/>
        <w:numPr>
          <w:ilvl w:val="0"/>
          <w:numId w:val="1"/>
        </w:numPr>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val="0"/>
          <w:bCs w:val="0"/>
          <w:sz w:val="30"/>
          <w:szCs w:val="30"/>
          <w:lang w:eastAsia="zh-CN"/>
        </w:rPr>
      </w:pPr>
      <w:r>
        <w:rPr>
          <w:rFonts w:hint="eastAsia" w:ascii="宋体" w:hAnsi="宋体" w:eastAsia="宋体" w:cs="宋体"/>
          <w:b w:val="0"/>
          <w:bCs w:val="0"/>
          <w:sz w:val="30"/>
          <w:szCs w:val="30"/>
          <w:lang w:eastAsia="zh-CN"/>
        </w:rPr>
        <w:t>墨子对思想论证的“察类”和“明故”的要求</w:t>
      </w:r>
      <w:r>
        <w:rPr>
          <w:rFonts w:hint="eastAsia" w:ascii="宋体" w:hAnsi="宋体" w:eastAsia="宋体" w:cs="宋体"/>
          <w:b w:val="0"/>
          <w:bCs w:val="0"/>
          <w:sz w:val="30"/>
          <w:szCs w:val="30"/>
          <w:lang w:val="en-US" w:eastAsia="zh-CN"/>
        </w:rPr>
        <w:t>..........13</w:t>
      </w:r>
    </w:p>
    <w:p>
      <w:pPr>
        <w:keepNext w:val="0"/>
        <w:keepLines w:val="0"/>
        <w:pageBreakBefore w:val="0"/>
        <w:widowControl w:val="0"/>
        <w:numPr>
          <w:ilvl w:val="0"/>
          <w:numId w:val="1"/>
        </w:numPr>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val="0"/>
          <w:bCs w:val="0"/>
          <w:sz w:val="30"/>
          <w:szCs w:val="30"/>
          <w:lang w:eastAsia="zh-CN"/>
        </w:rPr>
      </w:pPr>
      <w:r>
        <w:rPr>
          <w:rFonts w:hint="eastAsia" w:ascii="宋体" w:hAnsi="宋体" w:eastAsia="宋体" w:cs="宋体"/>
          <w:b w:val="0"/>
          <w:bCs w:val="0"/>
          <w:sz w:val="30"/>
          <w:szCs w:val="30"/>
          <w:lang w:eastAsia="zh-CN"/>
        </w:rPr>
        <w:t>孟子对“类”概念的强调，比附方法的普遍应用</w:t>
      </w:r>
      <w:r>
        <w:rPr>
          <w:rFonts w:hint="eastAsia" w:ascii="宋体" w:hAnsi="宋体" w:eastAsia="宋体" w:cs="宋体"/>
          <w:b w:val="0"/>
          <w:bCs w:val="0"/>
          <w:sz w:val="30"/>
          <w:szCs w:val="30"/>
          <w:lang w:val="en-US" w:eastAsia="zh-CN"/>
        </w:rPr>
        <w:t>........15</w:t>
      </w:r>
    </w:p>
    <w:p>
      <w:pPr>
        <w:keepNext w:val="0"/>
        <w:keepLines w:val="0"/>
        <w:pageBreakBefore w:val="0"/>
        <w:widowControl w:val="0"/>
        <w:numPr>
          <w:ilvl w:val="0"/>
          <w:numId w:val="0"/>
        </w:numPr>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b w:val="0"/>
          <w:bCs w:val="0"/>
          <w:sz w:val="30"/>
          <w:szCs w:val="30"/>
          <w:lang w:eastAsia="zh-CN"/>
        </w:rPr>
      </w:pPr>
      <w:r>
        <w:rPr>
          <w:rFonts w:hint="eastAsia" w:ascii="宋体" w:hAnsi="宋体" w:eastAsia="宋体" w:cs="宋体"/>
          <w:b w:val="0"/>
          <w:bCs w:val="0"/>
          <w:sz w:val="30"/>
          <w:szCs w:val="30"/>
          <w:lang w:val="en-US" w:eastAsia="zh-CN"/>
        </w:rPr>
        <w:t>4、</w:t>
      </w:r>
      <w:r>
        <w:rPr>
          <w:rFonts w:hint="eastAsia" w:ascii="宋体" w:hAnsi="宋体" w:eastAsia="宋体" w:cs="宋体"/>
          <w:b w:val="0"/>
          <w:bCs w:val="0"/>
          <w:sz w:val="30"/>
          <w:szCs w:val="30"/>
          <w:lang w:eastAsia="zh-CN"/>
        </w:rPr>
        <w:t>荀子正名思想中的推类</w:t>
      </w:r>
      <w:r>
        <w:rPr>
          <w:rFonts w:hint="eastAsia" w:ascii="宋体" w:hAnsi="宋体" w:eastAsia="宋体" w:cs="宋体"/>
          <w:b w:val="0"/>
          <w:bCs w:val="0"/>
          <w:sz w:val="30"/>
          <w:szCs w:val="30"/>
          <w:lang w:val="en-US" w:eastAsia="zh-CN"/>
        </w:rPr>
        <w:t>.........................</w:t>
      </w:r>
      <w:r>
        <w:rPr>
          <w:rFonts w:hint="eastAsia" w:ascii="宋体" w:hAnsi="宋体" w:eastAsia="宋体" w:cs="宋体"/>
          <w:b w:val="0"/>
          <w:bCs w:val="0"/>
          <w:sz w:val="30"/>
          <w:szCs w:val="30"/>
          <w:lang w:val="en-US" w:eastAsia="zh-CN"/>
        </w:rPr>
        <w:t>......20</w:t>
      </w:r>
    </w:p>
    <w:p>
      <w:pPr>
        <w:keepNext w:val="0"/>
        <w:keepLines w:val="0"/>
        <w:pageBreakBefore w:val="0"/>
        <w:widowControl w:val="0"/>
        <w:numPr>
          <w:ilvl w:val="0"/>
          <w:numId w:val="0"/>
        </w:numPr>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楷体" w:hAnsi="楷体" w:eastAsia="楷体" w:cs="楷体"/>
          <w:b/>
          <w:bCs/>
          <w:sz w:val="28"/>
          <w:szCs w:val="28"/>
          <w:lang w:eastAsia="zh-CN"/>
        </w:rPr>
      </w:pPr>
      <w:r>
        <w:rPr>
          <w:rFonts w:hint="eastAsia" w:ascii="宋体" w:hAnsi="宋体" w:eastAsia="宋体" w:cs="宋体"/>
          <w:b/>
          <w:bCs/>
          <w:sz w:val="30"/>
          <w:szCs w:val="30"/>
          <w:lang w:eastAsia="zh-CN"/>
        </w:rPr>
        <w:t>三、《墨辩》立辞“三物逻辑”中推类思想的形成</w:t>
      </w:r>
    </w:p>
    <w:p>
      <w:pPr>
        <w:keepNext w:val="0"/>
        <w:keepLines w:val="0"/>
        <w:pageBreakBefore w:val="0"/>
        <w:widowControl w:val="0"/>
        <w:numPr>
          <w:ilvl w:val="0"/>
          <w:numId w:val="0"/>
        </w:numPr>
        <w:tabs>
          <w:tab w:val="left" w:pos="420"/>
          <w:tab w:val="center" w:pos="4479"/>
        </w:tabs>
        <w:kinsoku/>
        <w:wordWrap/>
        <w:overflowPunct/>
        <w:topLinePunct w:val="0"/>
        <w:autoSpaceDE/>
        <w:autoSpaceDN/>
        <w:bidi w:val="0"/>
        <w:adjustRightInd/>
        <w:snapToGrid/>
        <w:spacing w:line="360" w:lineRule="auto"/>
        <w:ind w:right="0" w:rightChars="0"/>
        <w:jc w:val="left"/>
        <w:textAlignment w:val="auto"/>
        <w:outlineLvl w:val="9"/>
        <w:rPr>
          <w:rFonts w:hint="eastAsia" w:ascii="楷体" w:hAnsi="楷体" w:eastAsia="楷体" w:cs="楷体"/>
          <w:b/>
          <w:bCs/>
          <w:sz w:val="30"/>
          <w:szCs w:val="30"/>
          <w:lang w:eastAsia="zh-CN"/>
        </w:rPr>
      </w:pPr>
      <w:r>
        <w:rPr>
          <w:rFonts w:hint="eastAsia" w:ascii="楷体" w:hAnsi="楷体" w:eastAsia="楷体" w:cs="楷体"/>
          <w:b/>
          <w:bCs/>
          <w:sz w:val="30"/>
          <w:szCs w:val="30"/>
          <w:lang w:eastAsia="zh-CN"/>
        </w:rPr>
        <w:t>——推类逻辑思想的形成确立</w:t>
      </w:r>
      <w:r>
        <w:rPr>
          <w:rFonts w:hint="eastAsia" w:ascii="宋体" w:hAnsi="宋体" w:eastAsia="宋体" w:cs="宋体"/>
          <w:b w:val="0"/>
          <w:bCs w:val="0"/>
          <w:sz w:val="30"/>
          <w:szCs w:val="30"/>
          <w:lang w:val="en-US" w:eastAsia="zh-CN"/>
        </w:rPr>
        <w:t>...........................22</w:t>
      </w:r>
    </w:p>
    <w:p>
      <w:pPr>
        <w:keepNext w:val="0"/>
        <w:keepLines w:val="0"/>
        <w:pageBreakBefore w:val="0"/>
        <w:widowControl w:val="0"/>
        <w:numPr>
          <w:ilvl w:val="0"/>
          <w:numId w:val="2"/>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30"/>
          <w:szCs w:val="30"/>
        </w:rPr>
      </w:pPr>
      <w:r>
        <w:rPr>
          <w:rFonts w:hint="eastAsia" w:ascii="宋体" w:hAnsi="宋体" w:eastAsia="宋体" w:cs="宋体"/>
          <w:sz w:val="30"/>
          <w:szCs w:val="30"/>
        </w:rPr>
        <w:t>“类”的两种界说：①“有以同，类同也”；②“一法之相与也尽类”</w:t>
      </w:r>
      <w:r>
        <w:rPr>
          <w:rFonts w:hint="eastAsia" w:ascii="宋体" w:hAnsi="宋体" w:eastAsia="宋体" w:cs="宋体"/>
          <w:b w:val="0"/>
          <w:bCs w:val="0"/>
          <w:sz w:val="30"/>
          <w:szCs w:val="30"/>
          <w:lang w:val="en-US" w:eastAsia="zh-CN"/>
        </w:rPr>
        <w:t>...........................................24</w:t>
      </w:r>
    </w:p>
    <w:p>
      <w:pPr>
        <w:keepNext w:val="0"/>
        <w:keepLines w:val="0"/>
        <w:pageBreakBefore w:val="0"/>
        <w:widowControl w:val="0"/>
        <w:numPr>
          <w:ilvl w:val="0"/>
          <w:numId w:val="2"/>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30"/>
          <w:szCs w:val="30"/>
        </w:rPr>
      </w:pPr>
      <w:r>
        <w:rPr>
          <w:rFonts w:hint="eastAsia" w:ascii="宋体" w:hAnsi="宋体" w:eastAsia="宋体" w:cs="宋体"/>
          <w:sz w:val="30"/>
          <w:szCs w:val="30"/>
        </w:rPr>
        <w:t>论辩中的类推方法：以类取、以类予，或假效辟侔等论式中的类推分析</w:t>
      </w:r>
      <w:r>
        <w:rPr>
          <w:rFonts w:hint="eastAsia" w:ascii="宋体" w:hAnsi="宋体" w:eastAsia="宋体" w:cs="宋体"/>
          <w:b w:val="0"/>
          <w:bCs w:val="0"/>
          <w:sz w:val="30"/>
          <w:szCs w:val="30"/>
          <w:lang w:val="en-US" w:eastAsia="zh-CN"/>
        </w:rPr>
        <w:t>...........................................25</w:t>
      </w:r>
    </w:p>
    <w:p>
      <w:pPr>
        <w:keepNext w:val="0"/>
        <w:keepLines w:val="0"/>
        <w:pageBreakBefore w:val="0"/>
        <w:widowControl w:val="0"/>
        <w:numPr>
          <w:numId w:val="0"/>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rPr>
      </w:pPr>
      <w:r>
        <w:rPr>
          <w:rFonts w:hint="eastAsia" w:ascii="宋体" w:hAnsi="宋体" w:eastAsia="宋体" w:cs="宋体"/>
          <w:sz w:val="30"/>
          <w:szCs w:val="30"/>
          <w:lang w:val="en-US" w:eastAsia="zh-CN"/>
        </w:rPr>
        <w:t>3、</w:t>
      </w:r>
      <w:r>
        <w:rPr>
          <w:rFonts w:hint="eastAsia" w:ascii="宋体" w:hAnsi="宋体" w:eastAsia="宋体" w:cs="宋体"/>
          <w:sz w:val="30"/>
          <w:szCs w:val="30"/>
        </w:rPr>
        <w:t>推类中逻辑谬误的分析</w:t>
      </w:r>
      <w:r>
        <w:rPr>
          <w:rFonts w:hint="eastAsia" w:ascii="宋体" w:hAnsi="宋体" w:eastAsia="宋体" w:cs="宋体"/>
          <w:sz w:val="30"/>
          <w:szCs w:val="30"/>
          <w:lang w:val="en-US" w:eastAsia="zh-CN"/>
        </w:rPr>
        <w:t>..............................31</w:t>
      </w:r>
    </w:p>
    <w:p>
      <w:pPr>
        <w:keepNext w:val="0"/>
        <w:keepLines w:val="0"/>
        <w:pageBreakBefore w:val="0"/>
        <w:widowControl w:val="0"/>
        <w:numPr>
          <w:ilvl w:val="0"/>
          <w:numId w:val="3"/>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b/>
          <w:bCs/>
          <w:sz w:val="30"/>
          <w:szCs w:val="30"/>
        </w:rPr>
      </w:pPr>
      <w:r>
        <w:rPr>
          <w:rFonts w:hint="eastAsia" w:ascii="宋体" w:hAnsi="宋体" w:eastAsia="宋体" w:cs="宋体"/>
          <w:b/>
          <w:bCs/>
          <w:sz w:val="30"/>
          <w:szCs w:val="30"/>
        </w:rPr>
        <w:t>结语</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楷体" w:hAnsi="楷体" w:eastAsia="楷体" w:cs="楷体"/>
          <w:b/>
          <w:bCs/>
          <w:sz w:val="30"/>
          <w:szCs w:val="30"/>
        </w:rPr>
      </w:pPr>
      <w:r>
        <w:rPr>
          <w:rFonts w:hint="eastAsia" w:ascii="宋体" w:hAnsi="宋体" w:eastAsia="宋体" w:cs="宋体"/>
          <w:sz w:val="24"/>
          <w:szCs w:val="24"/>
          <w:lang w:val="en-US" w:eastAsia="zh-CN"/>
        </w:rPr>
        <w:t xml:space="preserve">     </w:t>
      </w:r>
      <w:r>
        <w:rPr>
          <w:rFonts w:hint="eastAsia" w:ascii="楷体" w:hAnsi="楷体" w:eastAsia="楷体" w:cs="楷体"/>
          <w:b/>
          <w:bCs/>
          <w:sz w:val="30"/>
          <w:szCs w:val="30"/>
        </w:rPr>
        <w:t>——中国古代推类逻辑思想的形成</w:t>
      </w:r>
      <w:r>
        <w:rPr>
          <w:rFonts w:hint="eastAsia" w:ascii="宋体" w:hAnsi="宋体" w:eastAsia="宋体" w:cs="宋体"/>
          <w:b w:val="0"/>
          <w:bCs w:val="0"/>
          <w:sz w:val="30"/>
          <w:szCs w:val="30"/>
          <w:lang w:val="en-US" w:eastAsia="zh-CN"/>
        </w:rPr>
        <w:t>...................34</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b w:val="0"/>
          <w:bCs w:val="0"/>
          <w:sz w:val="30"/>
          <w:szCs w:val="30"/>
          <w:lang w:val="en-US" w:eastAsia="zh-CN"/>
        </w:rPr>
      </w:pPr>
      <w:r>
        <w:rPr>
          <w:rFonts w:hint="eastAsia" w:ascii="宋体" w:hAnsi="宋体" w:eastAsia="宋体" w:cs="宋体"/>
          <w:b/>
          <w:bCs/>
          <w:sz w:val="30"/>
          <w:szCs w:val="30"/>
          <w:lang w:eastAsia="zh-CN"/>
        </w:rPr>
        <w:t>参考文献</w:t>
      </w:r>
      <w:r>
        <w:rPr>
          <w:rFonts w:hint="eastAsia" w:ascii="宋体" w:hAnsi="宋体" w:eastAsia="宋体" w:cs="宋体"/>
          <w:b w:val="0"/>
          <w:bCs w:val="0"/>
          <w:sz w:val="30"/>
          <w:szCs w:val="30"/>
          <w:lang w:val="en-US" w:eastAsia="zh-CN"/>
        </w:rPr>
        <w:t>.............................................37</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center"/>
        <w:textAlignment w:val="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t>引言</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春秋战国时期百家争鸣，诸子为了在论辩中获胜，论证自己的学说，反驳别人的观点，都十分注重辩论时的逻辑思维。</w:t>
      </w:r>
      <w:r>
        <w:rPr>
          <w:rStyle w:val="14"/>
          <w:rFonts w:hint="eastAsia" w:ascii="宋体" w:hAnsi="宋体" w:eastAsia="宋体" w:cs="宋体"/>
          <w:sz w:val="24"/>
          <w:szCs w:val="24"/>
          <w:lang w:eastAsia="zh-CN"/>
        </w:rPr>
        <w:footnoteReference w:id="0"/>
      </w:r>
      <w:r>
        <w:rPr>
          <w:rFonts w:hint="eastAsia" w:ascii="宋体" w:hAnsi="宋体" w:eastAsia="宋体" w:cs="宋体"/>
          <w:sz w:val="24"/>
          <w:szCs w:val="24"/>
          <w:lang w:eastAsia="zh-CN"/>
        </w:rPr>
        <w:t>因而思想家们对论辩中的逻辑问题进行了长期的研究和探索，故、理、类等逻辑范畴以及论辩方法和法则被提出和使用，以“类”为基础，以墨辩为典型的中国古代推类</w:t>
      </w:r>
      <w:r>
        <w:rPr>
          <w:rStyle w:val="14"/>
          <w:rFonts w:hint="eastAsia" w:ascii="宋体" w:hAnsi="宋体" w:eastAsia="宋体" w:cs="宋体"/>
          <w:sz w:val="24"/>
          <w:szCs w:val="24"/>
          <w:lang w:eastAsia="zh-CN"/>
        </w:rPr>
        <w:footnoteReference w:id="1"/>
      </w:r>
      <w:r>
        <w:rPr>
          <w:rFonts w:hint="eastAsia" w:ascii="宋体" w:hAnsi="宋体" w:eastAsia="宋体" w:cs="宋体"/>
          <w:sz w:val="24"/>
          <w:szCs w:val="24"/>
          <w:lang w:eastAsia="zh-CN"/>
        </w:rPr>
        <w:t>逻辑，在这个长期的研究和探索过程中，也逐渐形成与定型。推类逻辑思想，生于古代社会生活实践尤其是分辨活动中发展起来的类观念，长于先秦诸子在论辩中宣说和运用的推类思想，成于墨家辩学的三物逻辑。崔清田先生认为：“以事物或现象之间的同异为依据的‘推类’（或‘类推’），成了古代文献中占有重要地位的一种推理。”孙中原先生在《论中国逻辑研究》中说过：“总的来说，秦汉至清代，无高于墨辩和荀子名学的逻辑体系产生。”</w:t>
      </w:r>
      <w:r>
        <w:rPr>
          <w:rStyle w:val="14"/>
          <w:rFonts w:hint="eastAsia" w:ascii="宋体" w:hAnsi="宋体" w:eastAsia="宋体" w:cs="宋体"/>
          <w:sz w:val="24"/>
          <w:szCs w:val="24"/>
          <w:lang w:eastAsia="zh-CN"/>
        </w:rPr>
        <w:footnoteReference w:id="2"/>
      </w:r>
      <w:r>
        <w:rPr>
          <w:rFonts w:hint="eastAsia" w:ascii="宋体" w:hAnsi="宋体" w:eastAsia="宋体" w:cs="宋体"/>
          <w:sz w:val="24"/>
          <w:szCs w:val="24"/>
          <w:lang w:eastAsia="zh-CN"/>
        </w:rPr>
        <w:t>汪奠基先生指出：“在中国逻辑思想史上，推类比证的形式是最突出的，也是最值得研究的一个特点。”</w:t>
      </w:r>
      <w:r>
        <w:rPr>
          <w:rStyle w:val="14"/>
          <w:rFonts w:hint="eastAsia" w:ascii="宋体" w:hAnsi="宋体" w:eastAsia="宋体" w:cs="宋体"/>
          <w:sz w:val="24"/>
          <w:szCs w:val="24"/>
          <w:lang w:eastAsia="zh-CN"/>
        </w:rPr>
        <w:footnoteReference w:id="3"/>
      </w:r>
      <w:r>
        <w:rPr>
          <w:rFonts w:hint="eastAsia" w:ascii="宋体" w:hAnsi="宋体" w:eastAsia="宋体" w:cs="宋体"/>
          <w:sz w:val="24"/>
          <w:szCs w:val="24"/>
          <w:lang w:eastAsia="zh-CN"/>
        </w:rPr>
        <w:t>中国古代不仅确实存在推类逻辑思想，而且推类思想发端很早并在漫长的历史时期中得到了丰富和完善，推类逻辑的最终形成与定型是由后期墨家完成的。而推类，在中国古代逻辑中占有重要地位，是中国逻辑的主导推理类型</w:t>
      </w:r>
      <w:r>
        <w:rPr>
          <w:rStyle w:val="14"/>
          <w:rFonts w:hint="eastAsia" w:ascii="宋体" w:hAnsi="宋体" w:eastAsia="宋体" w:cs="宋体"/>
          <w:sz w:val="24"/>
          <w:szCs w:val="24"/>
          <w:lang w:eastAsia="zh-CN"/>
        </w:rPr>
        <w:footnoteReference w:id="4"/>
      </w:r>
      <w:r>
        <w:rPr>
          <w:rFonts w:hint="eastAsia" w:ascii="宋体" w:hAnsi="宋体" w:eastAsia="宋体" w:cs="宋体"/>
          <w:sz w:val="24"/>
          <w:szCs w:val="24"/>
          <w:lang w:eastAsia="zh-CN"/>
        </w:rPr>
        <w:t>，更是被思想家们期许着毕天下之能事</w:t>
      </w:r>
      <w:r>
        <w:rPr>
          <w:rStyle w:val="14"/>
          <w:rFonts w:hint="eastAsia" w:ascii="宋体" w:hAnsi="宋体" w:eastAsia="宋体" w:cs="宋体"/>
          <w:sz w:val="24"/>
          <w:szCs w:val="24"/>
          <w:lang w:eastAsia="zh-CN"/>
        </w:rPr>
        <w:footnoteReference w:id="5"/>
      </w:r>
      <w:r>
        <w:rPr>
          <w:rFonts w:hint="eastAsia" w:ascii="宋体" w:hAnsi="宋体" w:eastAsia="宋体" w:cs="宋体"/>
          <w:sz w:val="24"/>
          <w:szCs w:val="24"/>
          <w:lang w:eastAsia="zh-CN"/>
        </w:rPr>
        <w:t>的广泛意义。因此，推类逻辑思想的发生与形成，是一个需要提出和深入研究的重要问题。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类”是推类逻辑思想的基础，因此要研究推类逻辑思想的发生与形成，首先需要认识中国古代类观念酝酿到萌芽的过程，了解类观念从产生到成为逻辑范畴的历史演变。其次要了解先秦思想家们有关推类的思想，认识推类逻辑思想逐渐丰富完善的过程。在这些内容的基础上，本文第三部分将重点论述《墨辩》中的推类理论，对类的定义、推类方法以及推类谬误等内容进行考察。</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pP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eastAsia" w:ascii="楷体" w:hAnsi="楷体" w:eastAsia="楷体" w:cs="楷体"/>
          <w:b/>
          <w:bCs/>
          <w:sz w:val="28"/>
          <w:szCs w:val="28"/>
        </w:rPr>
      </w:pPr>
      <w:r>
        <w:rPr>
          <w:rFonts w:hint="eastAsia" w:ascii="楷体" w:hAnsi="楷体" w:eastAsia="楷体" w:cs="楷体"/>
          <w:b/>
          <w:bCs/>
          <w:sz w:val="28"/>
          <w:szCs w:val="28"/>
        </w:rPr>
        <w:t>一、中国古代类观念的酝酿到萌芽</w:t>
      </w:r>
    </w:p>
    <w:p>
      <w:pPr>
        <w:pStyle w:val="17"/>
        <w:keepNext w:val="0"/>
        <w:keepLines w:val="0"/>
        <w:pageBreakBefore w:val="0"/>
        <w:widowControl w:val="0"/>
        <w:kinsoku/>
        <w:wordWrap/>
        <w:overflowPunct/>
        <w:topLinePunct w:val="0"/>
        <w:autoSpaceDE/>
        <w:autoSpaceDN/>
        <w:bidi w:val="0"/>
        <w:adjustRightInd/>
        <w:spacing w:line="360" w:lineRule="auto"/>
        <w:ind w:left="420" w:right="0" w:rightChars="0" w:firstLine="0" w:firstLineChars="0"/>
        <w:jc w:val="center"/>
        <w:textAlignment w:val="auto"/>
        <w:rPr>
          <w:rFonts w:hint="eastAsia" w:ascii="楷体" w:hAnsi="楷体" w:eastAsia="楷体" w:cs="楷体"/>
          <w:b/>
          <w:bCs/>
          <w:sz w:val="28"/>
          <w:szCs w:val="28"/>
        </w:rPr>
      </w:pPr>
      <w:r>
        <w:rPr>
          <w:rFonts w:hint="eastAsia" w:ascii="楷体" w:hAnsi="楷体" w:eastAsia="楷体" w:cs="楷体"/>
          <w:b/>
          <w:bCs/>
          <w:sz w:val="28"/>
          <w:szCs w:val="28"/>
        </w:rPr>
        <w:t>——</w:t>
      </w:r>
      <w:r>
        <w:rPr>
          <w:rFonts w:hint="eastAsia" w:ascii="楷体" w:hAnsi="楷体" w:eastAsia="楷体" w:cs="楷体"/>
          <w:b/>
          <w:bCs/>
          <w:sz w:val="28"/>
          <w:szCs w:val="28"/>
          <w:lang w:eastAsia="zh-CN"/>
        </w:rPr>
        <w:t>从</w:t>
      </w:r>
      <w:r>
        <w:rPr>
          <w:rFonts w:hint="eastAsia" w:ascii="楷体" w:hAnsi="楷体" w:eastAsia="楷体" w:cs="楷体"/>
          <w:b/>
          <w:bCs/>
          <w:sz w:val="28"/>
          <w:szCs w:val="28"/>
        </w:rPr>
        <w:t>特殊到一般的演进</w:t>
      </w:r>
    </w:p>
    <w:p>
      <w:pPr>
        <w:pStyle w:val="17"/>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类”是推类的基础，讨论推类逻辑思想的发生与形成，不能离开对“类”范畴产生和发展的研究。黑格尔说：“宇宙中以及自然中有心智、理性，又如我们谈到自然里面的类，这些类就是普遍者……这个法则，这个心智，这个理性本身是内在于自然中，是自然的本质。”</w:t>
      </w:r>
      <w:r>
        <w:rPr>
          <w:rStyle w:val="14"/>
          <w:rFonts w:hint="eastAsia" w:ascii="宋体" w:hAnsi="宋体" w:eastAsia="宋体" w:cs="宋体"/>
          <w:sz w:val="24"/>
          <w:szCs w:val="24"/>
          <w:lang w:eastAsia="zh-CN"/>
        </w:rPr>
        <w:footnoteReference w:id="6"/>
      </w:r>
      <w:r>
        <w:rPr>
          <w:rFonts w:hint="eastAsia" w:ascii="宋体" w:hAnsi="宋体" w:eastAsia="宋体" w:cs="宋体"/>
          <w:sz w:val="24"/>
          <w:szCs w:val="24"/>
          <w:lang w:eastAsia="zh-CN"/>
        </w:rPr>
        <w:t>“类”概念几乎在人类的逻辑思维诞生时就诞生了，并且</w:t>
      </w:r>
      <w:r>
        <w:rPr>
          <w:rFonts w:hint="eastAsia" w:ascii="宋体" w:hAnsi="宋体" w:eastAsia="宋体" w:cs="宋体"/>
          <w:sz w:val="24"/>
          <w:szCs w:val="24"/>
        </w:rPr>
        <w:t>“类”概念</w:t>
      </w:r>
      <w:r>
        <w:rPr>
          <w:rFonts w:hint="eastAsia" w:ascii="宋体" w:hAnsi="宋体" w:eastAsia="宋体" w:cs="宋体"/>
          <w:sz w:val="24"/>
          <w:szCs w:val="24"/>
          <w:lang w:eastAsia="zh-CN"/>
        </w:rPr>
        <w:t>的</w:t>
      </w:r>
      <w:r>
        <w:rPr>
          <w:rFonts w:hint="eastAsia" w:ascii="宋体" w:hAnsi="宋体" w:eastAsia="宋体" w:cs="宋体"/>
          <w:sz w:val="24"/>
          <w:szCs w:val="24"/>
        </w:rPr>
        <w:t>意义</w:t>
      </w:r>
      <w:r>
        <w:rPr>
          <w:rFonts w:hint="eastAsia" w:ascii="宋体" w:hAnsi="宋体" w:eastAsia="宋体" w:cs="宋体"/>
          <w:sz w:val="24"/>
          <w:szCs w:val="24"/>
          <w:lang w:eastAsia="zh-CN"/>
        </w:rPr>
        <w:t>也随着人类历史的发展而发展变化。因此，“类”范畴的发生和发展的历史，实际上也是人类逻辑思维发生发展的历史。从我国最古老的历史文献中可以看出，自“类”字出现至它成为真正意义上的逻辑范畴经历了漫长的历史时期，其间“类”的意义也经过了多次演变和发展。中国古代的思想家只有准确把握了“类”概念，丰富完善“类”概念以为己所用，才有可能比较容易地超越直观的感觉经验，形成理性的理论思维，从而形成一套自觉的认识世界的准则和方法，把握思维规律，避免理论上的谬误。沈有鼎先生说：“‘类’字在古代中国逻辑思想中占极重要的位置，我们必须给以正确的解释。”</w:t>
      </w:r>
      <w:r>
        <w:rPr>
          <w:rStyle w:val="14"/>
          <w:rFonts w:hint="eastAsia" w:ascii="宋体" w:hAnsi="宋体" w:eastAsia="宋体" w:cs="宋体"/>
          <w:sz w:val="24"/>
          <w:szCs w:val="24"/>
          <w:lang w:eastAsia="zh-CN"/>
        </w:rPr>
        <w:footnoteReference w:id="7"/>
      </w:r>
      <w:r>
        <w:rPr>
          <w:rFonts w:hint="eastAsia" w:ascii="宋体" w:hAnsi="宋体" w:eastAsia="宋体" w:cs="宋体"/>
          <w:sz w:val="24"/>
          <w:szCs w:val="24"/>
          <w:lang w:eastAsia="zh-CN"/>
        </w:rPr>
        <w:t>参照学界有关的研究成果，我们可以将“类”转变为明确的逻辑范畴之前的概念含义概括如下：</w:t>
      </w:r>
    </w:p>
    <w:p>
      <w:pPr>
        <w:pStyle w:val="17"/>
        <w:keepNext w:val="0"/>
        <w:keepLines w:val="0"/>
        <w:pageBreakBefore w:val="0"/>
        <w:widowControl w:val="0"/>
        <w:numPr>
          <w:ilvl w:val="0"/>
          <w:numId w:val="4"/>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仿宋" w:hAnsi="仿宋" w:eastAsia="仿宋" w:cs="仿宋"/>
          <w:sz w:val="24"/>
          <w:szCs w:val="24"/>
          <w:lang w:val="en-US" w:eastAsia="zh-CN"/>
        </w:rPr>
        <w:t>与古代传说中的兽名有关。</w:t>
      </w:r>
      <w:r>
        <w:rPr>
          <w:rFonts w:hint="eastAsia" w:ascii="宋体" w:hAnsi="宋体" w:eastAsia="宋体" w:cs="宋体"/>
          <w:sz w:val="24"/>
          <w:szCs w:val="24"/>
          <w:lang w:val="en-US" w:eastAsia="zh-CN"/>
        </w:rPr>
        <w:t>《山海经·南山经》记载：“檀爱之山，多水无草木，不可以上。有兽焉，其状如狸而有髦，其名曰类，自为牝牡，食者不妒。”这是说“类”指一种栖居于檀爱之山的能够自孕繁衍的兽。</w:t>
      </w:r>
      <w:r>
        <w:rPr>
          <w:rFonts w:hint="eastAsia" w:ascii="宋体" w:hAnsi="宋体" w:eastAsia="宋体" w:cs="宋体"/>
          <w:sz w:val="24"/>
          <w:szCs w:val="24"/>
          <w:lang w:eastAsia="zh-CN"/>
        </w:rPr>
        <w:t>《说文解字》对“类”字的解释为：“类，种类相似，惟犬为甚。”“类”的本意是指一种相似性，而在犬当中这种相似性是最为突出的。“类”所指的到底是哪一种兽，是类于狸或犬的某种兽，还是专指犬的相似性，暂时没有足够的资料可以断定，但至少能够断定“类”字的本义与兽名有关。</w:t>
      </w:r>
    </w:p>
    <w:p>
      <w:pPr>
        <w:pStyle w:val="17"/>
        <w:keepNext w:val="0"/>
        <w:keepLines w:val="0"/>
        <w:pageBreakBefore w:val="0"/>
        <w:widowControl w:val="0"/>
        <w:numPr>
          <w:ilvl w:val="0"/>
          <w:numId w:val="4"/>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仿宋" w:hAnsi="仿宋" w:eastAsia="仿宋" w:cs="仿宋"/>
          <w:sz w:val="24"/>
          <w:szCs w:val="24"/>
          <w:lang w:eastAsia="zh-CN"/>
        </w:rPr>
        <w:t>与古代的祭祀有关。</w:t>
      </w:r>
      <w:r>
        <w:rPr>
          <w:rFonts w:hint="eastAsia" w:ascii="宋体" w:hAnsi="宋体" w:eastAsia="宋体" w:cs="宋体"/>
          <w:sz w:val="24"/>
          <w:szCs w:val="24"/>
          <w:lang w:eastAsia="zh-CN"/>
        </w:rPr>
        <w:t>特指用特别的形式或特别的事故祭告天与天神。《尚书》有云：“肆类上帝，禋于六宗。”类，祭名，后以“肆类”称祭天之礼。“天子将出，类乎上帝，宜乎社，造乎礼。”（《礼记·王制》）郑玄注曰：“类、宜、造，皆祭名，其礼亡。”“类”与祭祀有关在《周礼》中亦有记载：“凡天地之大哉，类社稷宗庙则为位。”（《周礼·春官宗伯上》）“掌六祀以同鬼神示，一曰类，二曰造，三曰，四曰荣，五曰攻，六曰说。”（《周礼·春官宗伯下》）《诗经》中也记载了“类”作为祭名，“是类是祃，是致是附，四方以无侮。”（《诗经·大雅·皇矣》）可见，“类”是与宜、造、祃等并列的祭祀仪式之一。</w:t>
      </w:r>
    </w:p>
    <w:p>
      <w:pPr>
        <w:pStyle w:val="17"/>
        <w:keepNext w:val="0"/>
        <w:keepLines w:val="0"/>
        <w:pageBreakBefore w:val="0"/>
        <w:widowControl w:val="0"/>
        <w:numPr>
          <w:ilvl w:val="0"/>
          <w:numId w:val="4"/>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highlight w:val="none"/>
          <w:lang w:eastAsia="zh-CN"/>
        </w:rPr>
      </w:pPr>
      <w:r>
        <w:rPr>
          <w:rFonts w:hint="eastAsia" w:ascii="仿宋" w:hAnsi="仿宋" w:eastAsia="仿宋" w:cs="仿宋"/>
          <w:sz w:val="24"/>
          <w:szCs w:val="24"/>
          <w:lang w:eastAsia="zh-CN"/>
        </w:rPr>
        <w:t>意为“善”“美好”。</w:t>
      </w:r>
      <w:r>
        <w:rPr>
          <w:rFonts w:hint="eastAsia" w:ascii="宋体" w:hAnsi="宋体" w:eastAsia="宋体" w:cs="宋体"/>
          <w:sz w:val="24"/>
          <w:szCs w:val="24"/>
          <w:lang w:eastAsia="zh-CN"/>
        </w:rPr>
        <w:t>“克明克类，克长克君。”（《诗经·大雅·皇矣》）朱熹注曰：“克明，能察是非也；克类，能分善恶也。”“文王曰咨，咨女殷商。而秉义类，强御多怼。”（《诗经·大雅·荡》）“义、类，皆善也，谓善人。”</w:t>
      </w:r>
      <w:r>
        <w:rPr>
          <w:rStyle w:val="14"/>
          <w:rFonts w:hint="eastAsia" w:ascii="宋体" w:hAnsi="宋体" w:eastAsia="宋体" w:cs="宋体"/>
          <w:sz w:val="24"/>
          <w:szCs w:val="24"/>
          <w:lang w:eastAsia="zh-CN"/>
        </w:rPr>
        <w:footnoteReference w:id="8"/>
      </w:r>
      <w:r>
        <w:rPr>
          <w:rFonts w:hint="eastAsia" w:ascii="宋体" w:hAnsi="宋体" w:eastAsia="宋体" w:cs="宋体"/>
          <w:sz w:val="24"/>
          <w:szCs w:val="24"/>
          <w:lang w:eastAsia="zh-CN"/>
        </w:rPr>
        <w:t>“大风有隧，贪人败类，听言则对，诵言如醉。”（《诗经·大雅·桑柔》）毛诗注：“类，善也。”“言行不类，终始相悖，外内不合，虽有符节见行，曰非诚质者也。”（《周书·官人》）“勤施无私曰类。”（《左传·昭公二十六年》）《尔雅》云：“类，善也。”“类”被赋予了善的含义，象征美好的德行，“不类”即不善，“败类”即败善，“克类”即明辨善与不善。</w:t>
      </w:r>
      <w:r>
        <w:rPr>
          <w:rFonts w:hint="eastAsia" w:ascii="宋体" w:hAnsi="宋体" w:eastAsia="宋体" w:cs="宋体"/>
          <w:sz w:val="24"/>
          <w:szCs w:val="24"/>
          <w:highlight w:val="none"/>
          <w:lang w:eastAsia="zh-CN"/>
        </w:rPr>
        <w:t>“类”作为祭名或善名的含义，尚不具备抽象的、普遍的、一般性的意义。</w:t>
      </w:r>
    </w:p>
    <w:p>
      <w:pPr>
        <w:pStyle w:val="17"/>
        <w:keepNext w:val="0"/>
        <w:keepLines w:val="0"/>
        <w:pageBreakBefore w:val="0"/>
        <w:widowControl w:val="0"/>
        <w:numPr>
          <w:ilvl w:val="0"/>
          <w:numId w:val="4"/>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highlight w:val="none"/>
          <w:lang w:eastAsia="zh-CN"/>
        </w:rPr>
      </w:pPr>
      <w:r>
        <w:rPr>
          <w:rFonts w:hint="eastAsia" w:ascii="仿宋" w:hAnsi="仿宋" w:eastAsia="仿宋" w:cs="仿宋"/>
          <w:sz w:val="24"/>
          <w:szCs w:val="24"/>
          <w:highlight w:val="none"/>
          <w:lang w:eastAsia="zh-CN"/>
        </w:rPr>
        <w:t>指“族类”。</w:t>
      </w:r>
      <w:r>
        <w:rPr>
          <w:rFonts w:hint="eastAsia" w:ascii="宋体" w:hAnsi="宋体" w:eastAsia="宋体" w:cs="宋体"/>
          <w:sz w:val="24"/>
          <w:szCs w:val="24"/>
          <w:highlight w:val="none"/>
          <w:lang w:eastAsia="zh-CN"/>
        </w:rPr>
        <w:t>在古代文字中，“类”字和“族”字同义。</w:t>
      </w:r>
      <w:r>
        <w:rPr>
          <w:rStyle w:val="14"/>
          <w:rFonts w:hint="eastAsia" w:ascii="宋体" w:hAnsi="宋体" w:eastAsia="宋体" w:cs="宋体"/>
          <w:sz w:val="24"/>
          <w:szCs w:val="24"/>
          <w:highlight w:val="none"/>
          <w:lang w:eastAsia="zh-CN"/>
        </w:rPr>
        <w:footnoteReference w:id="9"/>
      </w:r>
      <w:r>
        <w:rPr>
          <w:rFonts w:hint="eastAsia" w:ascii="宋体" w:hAnsi="宋体" w:eastAsia="宋体" w:cs="宋体"/>
          <w:sz w:val="24"/>
          <w:szCs w:val="24"/>
          <w:highlight w:val="none"/>
          <w:lang w:eastAsia="zh-CN"/>
        </w:rPr>
        <w:t>因此在古代文献中多有“族”“类”连用或并举的情况。如“非我族类，其心必异。”</w:t>
      </w:r>
      <w:r>
        <w:rPr>
          <w:rFonts w:hint="eastAsia" w:ascii="宋体" w:hAnsi="宋体" w:eastAsia="宋体" w:cs="宋体"/>
          <w:sz w:val="24"/>
          <w:szCs w:val="24"/>
          <w:lang w:eastAsia="zh-CN"/>
        </w:rPr>
        <w:t>（《左传·成公四年》）“神不歆非类，民不祀非族。”（《左传·僖公十年》）“教之训典，使之族类，行比义焉。”（《国语·楚语》）也有“类”字单独使用表示族别的情况，如“异姓则异德，异德则异类。异类虽近，男女相及，以生民也。”（《国语·晋语》）“彼无亦置其同类以服东夷，而大攘诸夏，将天下是五而何德于君，其予君也。”（《国语·鲁语》）韦昭注曰：“同类，同姓也。”属于同一族的便是同类，不属于同一族的便是非类。“类”已经开始含有某种属性相同这方面的内涵，“族类”也是事物的类别，此时的类概念应该是与事物间的联系与差别有关，亦是对事物分类的认识结果，已经开始具有初步的逻辑意义。</w:t>
      </w:r>
    </w:p>
    <w:p>
      <w:pPr>
        <w:pStyle w:val="17"/>
        <w:keepNext w:val="0"/>
        <w:keepLines w:val="0"/>
        <w:pageBreakBefore w:val="0"/>
        <w:widowControl w:val="0"/>
        <w:numPr>
          <w:ilvl w:val="0"/>
          <w:numId w:val="4"/>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highlight w:val="none"/>
          <w:lang w:eastAsia="zh-CN"/>
        </w:rPr>
      </w:pPr>
      <w:r>
        <w:rPr>
          <w:rFonts w:hint="eastAsia" w:ascii="仿宋" w:hAnsi="仿宋" w:eastAsia="仿宋" w:cs="仿宋"/>
          <w:sz w:val="24"/>
          <w:szCs w:val="24"/>
          <w:lang w:eastAsia="zh-CN"/>
        </w:rPr>
        <w:t>表示相似或相像。</w:t>
      </w:r>
      <w:r>
        <w:rPr>
          <w:rFonts w:hint="eastAsia" w:ascii="宋体" w:hAnsi="宋体" w:eastAsia="宋体" w:cs="宋体"/>
          <w:sz w:val="24"/>
          <w:szCs w:val="24"/>
          <w:lang w:eastAsia="zh-CN"/>
        </w:rPr>
        <w:t>“肖、似，类也。”（《广雅》）”“公问名于申襦。对曰：‘名有五，有信，有义，有象，有假，有类。’以名生为信，以德命为义，以类命为象，取于物为假，取于父为类。”（《左传·桓公六年》）这里“类”的意思就是与某物相像、相似。“董褐既致命，乃告据赵鞅曰：‘臣观吴王之色，类有大忧’。”（《国语·吴语》）就是说观察其脸色，像有大忧的样子。“类”表示相似，更加接近了“分类”“类比”当中“类”的含义，也表明此时仍然处在“类”成为逻辑范畴的萌芽阶段。</w:t>
      </w:r>
    </w:p>
    <w:p>
      <w:pPr>
        <w:pStyle w:val="17"/>
        <w:keepNext w:val="0"/>
        <w:keepLines w:val="0"/>
        <w:pageBreakBefore w:val="0"/>
        <w:widowControl w:val="0"/>
        <w:numPr>
          <w:ilvl w:val="0"/>
          <w:numId w:val="4"/>
        </w:numPr>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highlight w:val="none"/>
          <w:lang w:eastAsia="zh-CN"/>
        </w:rPr>
      </w:pPr>
      <w:r>
        <w:rPr>
          <w:rFonts w:hint="eastAsia" w:ascii="仿宋" w:hAnsi="仿宋" w:eastAsia="仿宋" w:cs="仿宋"/>
          <w:sz w:val="24"/>
          <w:szCs w:val="24"/>
          <w:lang w:eastAsia="zh-CN"/>
        </w:rPr>
        <w:t>指事类、物类。</w:t>
      </w:r>
      <w:r>
        <w:rPr>
          <w:rFonts w:hint="eastAsia" w:ascii="宋体" w:hAnsi="宋体" w:eastAsia="宋体" w:cs="宋体"/>
          <w:sz w:val="24"/>
          <w:szCs w:val="24"/>
          <w:lang w:eastAsia="zh-CN"/>
        </w:rPr>
        <w:t>“物象天地，比类百则，仪之于民，而应之于群生。”（《国语·</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周语》）“民有好、恶、喜、怒、哀、乐，生于六气，是故审则宜类，以制六志。”（《左传·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昭公二十五年》）“六物不同，民心不一，事序不类，官职不则，同始异终，胡可常也？”（《左传·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昭公七年》）“同声相应，同气相求。水流湿，火就燥，云从龙，风从虎。圣人作而万物睹。本乎天者亲上，本乎地者亲下。则各从其类也。”（《乾卦·文言传》）“类”指物类、事类、类别，具有事物相同属性的意义，反映出人们对客观事物联系的认识愈加抽象化。</w:t>
      </w:r>
    </w:p>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以上列举的“类”字的主要含义，是随着历史发展扩充、转换的结果，有着明显的时代特征。如恩格斯所说：“我们时代的理论思维，都是一种历史的产物。”</w:t>
      </w:r>
      <w:r>
        <w:rPr>
          <w:rStyle w:val="14"/>
          <w:rFonts w:hint="eastAsia" w:ascii="宋体" w:hAnsi="宋体" w:eastAsia="宋体" w:cs="宋体"/>
          <w:sz w:val="24"/>
          <w:szCs w:val="24"/>
          <w:lang w:eastAsia="zh-CN"/>
        </w:rPr>
        <w:footnoteReference w:id="10"/>
      </w:r>
      <w:r>
        <w:rPr>
          <w:rFonts w:hint="eastAsia" w:ascii="宋体" w:hAnsi="宋体" w:eastAsia="宋体" w:cs="宋体"/>
          <w:sz w:val="24"/>
          <w:szCs w:val="24"/>
          <w:lang w:eastAsia="zh-CN"/>
        </w:rPr>
        <w:t>“类”最初为兽名，后来又作为祭名，进而发展出“善”的意思，这与古代氏族观念和原始宗教的图腾崇拜、祭祀制有关。到春秋战国时期，“类”被赋予了族类、相似、事类、物类等含义，这也是生产力逐渐发展，社会实践日益深入，思想文化渐趋繁荣的结果，反映了人们对客观世界普遍联系的认识愈加深化，虽然并未达到完全逻辑抽象的程度，但已经开始具有逻辑意义，是逻辑“类”范畴的思想萌芽。</w:t>
      </w:r>
    </w:p>
    <w:p>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“类”最原始的意义可能是指《山海经》中记载的某种兽，当时社会生产力低下，这种“</w:t>
      </w:r>
      <w:r>
        <w:rPr>
          <w:rFonts w:hint="eastAsia" w:ascii="宋体" w:hAnsi="宋体" w:eastAsia="宋体" w:cs="宋体"/>
          <w:sz w:val="24"/>
          <w:szCs w:val="24"/>
          <w:lang w:val="en-US" w:eastAsia="zh-CN"/>
        </w:rPr>
        <w:t>牝牡相生”的兽成为了某一氏族或部落的图腾，进而成为祭祀的对象，便被确定为一种祭祀形式，用作祭名。继而合乎祭祀形式到合乎德行标准即达到“善”。</w:t>
      </w:r>
      <w:r>
        <w:rPr>
          <w:rFonts w:hint="eastAsia" w:ascii="宋体" w:hAnsi="宋体" w:eastAsia="宋体" w:cs="宋体"/>
          <w:sz w:val="24"/>
          <w:szCs w:val="24"/>
          <w:lang w:eastAsia="zh-CN"/>
        </w:rPr>
        <w:t>祭祀活动亦可在参与祭祀人员之间表现亲密关系，传递私密信息，一同参加祭祀活动亦能加强亲密关系，因此，便有了“族类”的含义，这一含义与“祭名”具有一定的联系。“兽名”到“族类”概念的出现，这说明随着社会实践的横向扩展和纵向深入，人们认识眼界更加开阔，抽象思维能力也发展到了一个新的阶段。侯外庐先生指出：“在古文字中‘类’和‘族’同义……即类别是族别，也即是与古代地域区别相对待的氏族血缘区别，绝无逻辑意味。”</w:t>
      </w:r>
      <w:r>
        <w:rPr>
          <w:rStyle w:val="14"/>
          <w:rFonts w:hint="eastAsia" w:ascii="宋体" w:hAnsi="宋体" w:eastAsia="宋体" w:cs="宋体"/>
          <w:sz w:val="24"/>
          <w:szCs w:val="24"/>
          <w:lang w:eastAsia="zh-CN"/>
        </w:rPr>
        <w:footnoteReference w:id="11"/>
      </w:r>
      <w:r>
        <w:rPr>
          <w:rFonts w:hint="eastAsia" w:ascii="宋体" w:hAnsi="宋体" w:eastAsia="宋体" w:cs="宋体"/>
          <w:sz w:val="24"/>
          <w:szCs w:val="24"/>
          <w:lang w:eastAsia="zh-CN"/>
        </w:rPr>
        <w:t>但在我们看来，“族类”也是事物的类别，这一含义的出现能够表明人们分辨思维能力更加提高，对事物种类关系有了更深的认识，因为“族类”概念把“类”与人群的分类联系在一起，人们对“类”的认识不再是专指“兽名”、“祭名”或是“善”，而已经开始由特殊向一般发展。吴建国先生认为：“把‘类’和种族的划分连接在一起，使‘类’具有了最初的逻辑上的类概念的因素。‘</w:t>
      </w:r>
      <w:r>
        <w:rPr>
          <w:rFonts w:hint="eastAsia" w:ascii="Arial" w:hAnsi="Arial" w:eastAsia="宋体" w:cs="Arial"/>
          <w:sz w:val="24"/>
          <w:szCs w:val="24"/>
          <w:lang w:eastAsia="zh-CN"/>
        </w:rPr>
        <w:t>族类</w:t>
      </w:r>
      <w:r>
        <w:rPr>
          <w:rFonts w:hint="eastAsia" w:ascii="宋体" w:hAnsi="宋体" w:eastAsia="宋体" w:cs="宋体"/>
          <w:sz w:val="24"/>
          <w:szCs w:val="24"/>
          <w:lang w:eastAsia="zh-CN"/>
        </w:rPr>
        <w:t>’的概念不可能孤立地产生，与‘</w:t>
      </w:r>
      <w:r>
        <w:rPr>
          <w:rFonts w:hint="eastAsia" w:ascii="Arial" w:hAnsi="Arial" w:eastAsia="宋体" w:cs="Arial"/>
          <w:sz w:val="24"/>
          <w:szCs w:val="24"/>
          <w:lang w:eastAsia="zh-CN"/>
        </w:rPr>
        <w:t>族类</w:t>
      </w:r>
      <w:r>
        <w:rPr>
          <w:rFonts w:hint="eastAsia" w:ascii="宋体" w:hAnsi="宋体" w:eastAsia="宋体" w:cs="宋体"/>
          <w:sz w:val="24"/>
          <w:szCs w:val="24"/>
          <w:lang w:eastAsia="zh-CN"/>
        </w:rPr>
        <w:t>’概念产生的同时，必然产生对其他事物种类关系的意识，必然产生其它事类、物类等概念。”</w:t>
      </w:r>
      <w:r>
        <w:rPr>
          <w:rFonts w:hint="eastAsia" w:ascii="Arial" w:hAnsi="Arial" w:eastAsia="宋体" w:cs="Arial"/>
          <w:sz w:val="24"/>
          <w:szCs w:val="24"/>
          <w:lang w:eastAsia="zh-CN"/>
        </w:rPr>
        <w:t>“族类”概念是“类”用以概括属性相同事物的开始，进而使得对整个客观世界进行分辨、概括成为可能，直到“类”又发展出“事类”、“物类”等含义，中国古代类观念已完成了从特殊到一般的演进，为其后逻辑意义上“类”范畴的产生以及推类思想的形成创造了理论前提。</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pP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eastAsia" w:ascii="楷体" w:hAnsi="楷体" w:eastAsia="楷体" w:cs="楷体"/>
          <w:b/>
          <w:bCs/>
          <w:sz w:val="28"/>
          <w:szCs w:val="28"/>
        </w:rPr>
      </w:pPr>
      <w:r>
        <w:rPr>
          <w:rFonts w:hint="eastAsia" w:ascii="楷体" w:hAnsi="楷体" w:eastAsia="楷体" w:cs="楷体"/>
          <w:b/>
          <w:bCs/>
          <w:sz w:val="28"/>
          <w:szCs w:val="28"/>
        </w:rPr>
        <w:t>二、先秦诸子的推类思想</w:t>
      </w:r>
    </w:p>
    <w:p>
      <w:pPr>
        <w:pStyle w:val="17"/>
        <w:keepNext w:val="0"/>
        <w:keepLines w:val="0"/>
        <w:pageBreakBefore w:val="0"/>
        <w:widowControl w:val="0"/>
        <w:kinsoku/>
        <w:wordWrap/>
        <w:overflowPunct/>
        <w:topLinePunct w:val="0"/>
        <w:autoSpaceDE/>
        <w:autoSpaceDN/>
        <w:bidi w:val="0"/>
        <w:adjustRightInd/>
        <w:spacing w:line="360" w:lineRule="auto"/>
        <w:ind w:left="420" w:right="0" w:rightChars="0" w:firstLine="0" w:firstLineChars="0"/>
        <w:jc w:val="center"/>
        <w:textAlignment w:val="auto"/>
        <w:rPr>
          <w:rFonts w:hint="eastAsia" w:ascii="楷体" w:hAnsi="楷体" w:eastAsia="楷体" w:cs="楷体"/>
          <w:b/>
          <w:bCs/>
          <w:sz w:val="28"/>
          <w:szCs w:val="28"/>
        </w:rPr>
      </w:pPr>
      <w:r>
        <w:rPr>
          <w:rFonts w:hint="eastAsia" w:ascii="楷体" w:hAnsi="楷体" w:eastAsia="楷体" w:cs="楷体"/>
          <w:b/>
          <w:bCs/>
          <w:sz w:val="28"/>
          <w:szCs w:val="28"/>
        </w:rPr>
        <w:t>——推类观在思维实践中的发展与成熟</w:t>
      </w:r>
    </w:p>
    <w:p>
      <w:pPr>
        <w:keepNext w:val="0"/>
        <w:keepLines w:val="0"/>
        <w:pageBreakBefore w:val="0"/>
        <w:widowControl w:val="0"/>
        <w:numPr>
          <w:ilvl w:val="0"/>
          <w:numId w:val="5"/>
        </w:numPr>
        <w:kinsoku/>
        <w:wordWrap/>
        <w:overflowPunct/>
        <w:topLinePunct w:val="0"/>
        <w:autoSpaceDE/>
        <w:autoSpaceDN/>
        <w:bidi w:val="0"/>
        <w:adjustRightInd/>
        <w:spacing w:line="360" w:lineRule="auto"/>
        <w:ind w:right="0" w:rightChars="0"/>
        <w:textAlignment w:val="auto"/>
        <w:rPr>
          <w:rFonts w:hint="eastAsia" w:ascii="仿宋" w:hAnsi="仿宋" w:eastAsia="仿宋" w:cs="仿宋"/>
          <w:b/>
          <w:bCs/>
          <w:sz w:val="24"/>
          <w:szCs w:val="24"/>
        </w:rPr>
      </w:pPr>
      <w:r>
        <w:rPr>
          <w:rFonts w:hint="eastAsia" w:ascii="仿宋" w:hAnsi="仿宋" w:eastAsia="仿宋" w:cs="仿宋"/>
          <w:b/>
          <w:bCs/>
          <w:sz w:val="24"/>
          <w:szCs w:val="24"/>
        </w:rPr>
        <w:t>孔子的类推，“能近取譬”、“举一反三”，最初的推类意识和实践。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孔子是先秦诸子中最早论及“类”的人之一，他虽没有明确提出逻辑意义上的”类“范畴，也没有概括出“推类”，但他十分关注和重视分类思维，也注重推类的应用，他不仅有自己分类的标准和体系，还在“知类”的基础上发展了推类思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子曰:“不愤不启,不悱不发。举一隅不以三隅反,则不复也。” （《论语·述而》）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这体现了教育家孔子在教学方面的推类实践。当老师给出方形的一个角，学生就要由此一角而知其余三个角。主张要从一件事情类推而知道其它同类的事情，这是孔子要求他的学生要善于学习，能够由此及彼。方形的四个角是同类事物，由一角出发，举一反三、触类旁通进而知道其余三角，这实际就是一个推类的过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孔子不仅认识到思维具有“推知”的作用，还提出了具有一定逻辑意义的推论方法。“仁”是孔子思想的核心内容之一，而关于实践“仁”的方法：</w:t>
      </w:r>
      <w:r>
        <w:rPr>
          <w:rFonts w:hint="eastAsia" w:ascii="宋体" w:hAnsi="宋体" w:eastAsia="宋体" w:cs="宋体"/>
          <w:sz w:val="24"/>
          <w:szCs w:val="24"/>
        </w:rPr>
        <w:t>“夫仁者，己欲立而立人，己欲达而达人。能近取譬，可谓仁之方也已。”</w:t>
      </w:r>
      <w:r>
        <w:rPr>
          <w:rFonts w:hint="eastAsia" w:ascii="宋体" w:hAnsi="宋体" w:eastAsia="宋体" w:cs="宋体"/>
          <w:sz w:val="24"/>
          <w:szCs w:val="24"/>
          <w:lang w:eastAsia="zh-CN"/>
        </w:rPr>
        <w:t>（</w:t>
      </w:r>
      <w:r>
        <w:rPr>
          <w:rFonts w:hint="eastAsia" w:ascii="宋体" w:hAnsi="宋体" w:eastAsia="宋体" w:cs="宋体"/>
          <w:sz w:val="24"/>
          <w:szCs w:val="24"/>
        </w:rPr>
        <w:t>《论语·雍也》</w:t>
      </w:r>
      <w:r>
        <w:rPr>
          <w:rFonts w:hint="eastAsia" w:ascii="宋体" w:hAnsi="宋体" w:eastAsia="宋体" w:cs="宋体"/>
          <w:sz w:val="24"/>
          <w:szCs w:val="24"/>
          <w:lang w:eastAsia="zh-CN"/>
        </w:rPr>
        <w:t>）《说文解字》对“譬”字的解释是“喻也”，“</w:t>
      </w:r>
      <w:r>
        <w:rPr>
          <w:rFonts w:hint="eastAsia" w:ascii="宋体" w:hAnsi="宋体" w:eastAsia="宋体" w:cs="宋体"/>
          <w:sz w:val="24"/>
          <w:szCs w:val="24"/>
        </w:rPr>
        <w:t>能近取譬</w:t>
      </w:r>
      <w:r>
        <w:rPr>
          <w:rFonts w:hint="eastAsia" w:ascii="宋体" w:hAnsi="宋体" w:eastAsia="宋体" w:cs="宋体"/>
          <w:sz w:val="24"/>
          <w:szCs w:val="24"/>
          <w:lang w:eastAsia="zh-CN"/>
        </w:rPr>
        <w:t>”就是说就近选取相配、相合的事物作为喻体，以明晓并实践仁。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孔子所言其实主要不是指方法，而是指属类，因此，“己欲立而立人，己欲达而达人”这两句话，其实质含义是以“己”推“人”，将自己类比于他人，也将他人类比于自己，故是一种“譬”；自己是离自己“最近的”存在物，故说“近取譬”。“己所不欲，勿施于人。”（</w:t>
      </w:r>
      <w:r>
        <w:rPr>
          <w:rFonts w:hint="eastAsia" w:ascii="宋体" w:hAnsi="宋体" w:eastAsia="宋体" w:cs="宋体"/>
          <w:sz w:val="24"/>
          <w:szCs w:val="24"/>
        </w:rPr>
        <w:t>《论语·</w:t>
      </w:r>
      <w:r>
        <w:rPr>
          <w:rFonts w:hint="eastAsia" w:ascii="宋体" w:hAnsi="宋体" w:eastAsia="宋体" w:cs="宋体"/>
          <w:sz w:val="24"/>
          <w:szCs w:val="24"/>
          <w:lang w:eastAsia="zh-CN"/>
        </w:rPr>
        <w:t>卫灵公</w:t>
      </w:r>
      <w:r>
        <w:rPr>
          <w:rFonts w:hint="eastAsia" w:ascii="宋体" w:hAnsi="宋体" w:eastAsia="宋体" w:cs="宋体"/>
          <w:sz w:val="24"/>
          <w:szCs w:val="24"/>
        </w:rPr>
        <w:t>》</w:t>
      </w:r>
      <w:r>
        <w:rPr>
          <w:rFonts w:hint="eastAsia" w:ascii="宋体" w:hAnsi="宋体" w:eastAsia="宋体" w:cs="宋体"/>
          <w:sz w:val="24"/>
          <w:szCs w:val="24"/>
          <w:lang w:eastAsia="zh-CN"/>
        </w:rPr>
        <w:t>）也是由自己所不想要的推出他人不想要的，得到不要强加于人的为人守则。“举一反三”主要是关于同种类事物关系的类比推论问题，而“能近取譬”则是关于伦类关系的道德伦理推论问题。这两个典型例子体现了孔子在探讨教学和伦理问题中具有推类意识。而这种以事物的类似性为依据的推论在孔子的求知方法、伦理和政治智慧中还有很多例证，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rPr>
        <w:t>子谓子贡曰：“汝与回也孰愈？”对曰：“赐也何敢望回</w:t>
      </w:r>
      <w:r>
        <w:rPr>
          <w:rFonts w:hint="eastAsia" w:ascii="楷体" w:hAnsi="楷体" w:eastAsia="楷体" w:cs="楷体"/>
          <w:sz w:val="24"/>
          <w:szCs w:val="24"/>
          <w:lang w:eastAsia="zh-CN"/>
        </w:rPr>
        <w:t>？</w:t>
      </w:r>
      <w:r>
        <w:rPr>
          <w:rFonts w:hint="eastAsia" w:ascii="楷体" w:hAnsi="楷体" w:eastAsia="楷体" w:cs="楷体"/>
          <w:sz w:val="24"/>
          <w:szCs w:val="24"/>
        </w:rPr>
        <w:t>回也闻一以知十，赐也闻一以知二。”子曰：“弗如也。吾与汝弗如也。”</w:t>
      </w:r>
      <w:r>
        <w:rPr>
          <w:rFonts w:hint="eastAsia" w:ascii="楷体" w:hAnsi="楷体" w:eastAsia="楷体" w:cs="楷体"/>
          <w:sz w:val="24"/>
          <w:szCs w:val="24"/>
          <w:lang w:eastAsia="zh-CN"/>
        </w:rPr>
        <w:t>（</w:t>
      </w:r>
      <w:r>
        <w:rPr>
          <w:rFonts w:hint="eastAsia" w:ascii="楷体" w:hAnsi="楷体" w:eastAsia="楷体" w:cs="楷体"/>
          <w:sz w:val="24"/>
          <w:szCs w:val="24"/>
        </w:rPr>
        <w:t>《论语·</w:t>
      </w:r>
      <w:r>
        <w:rPr>
          <w:rFonts w:hint="eastAsia" w:ascii="楷体" w:hAnsi="楷体" w:eastAsia="楷体" w:cs="楷体"/>
          <w:sz w:val="24"/>
          <w:szCs w:val="24"/>
          <w:lang w:eastAsia="zh-CN"/>
        </w:rPr>
        <w:t>公治长</w:t>
      </w:r>
      <w:r>
        <w:rPr>
          <w:rFonts w:hint="eastAsia" w:ascii="楷体" w:hAnsi="楷体" w:eastAsia="楷体" w:cs="楷体"/>
          <w:sz w:val="24"/>
          <w:szCs w:val="24"/>
        </w:rPr>
        <w:t>》</w:t>
      </w:r>
      <w:r>
        <w:rPr>
          <w:rFonts w:hint="eastAsia" w:ascii="楷体" w:hAnsi="楷体" w:eastAsia="楷体" w:cs="楷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rPr>
        <w:t>子贡曰：“贫而无谄,富而无骄,何如?”,子曰：“可也,未若贫而乐,富而好礼者也”</w:t>
      </w:r>
      <w:r>
        <w:rPr>
          <w:rFonts w:hint="eastAsia" w:ascii="楷体" w:hAnsi="楷体" w:eastAsia="楷体" w:cs="楷体"/>
          <w:sz w:val="24"/>
          <w:szCs w:val="24"/>
          <w:lang w:eastAsia="zh-CN"/>
        </w:rPr>
        <w:t>。</w:t>
      </w:r>
      <w:r>
        <w:rPr>
          <w:rFonts w:hint="eastAsia" w:ascii="楷体" w:hAnsi="楷体" w:eastAsia="楷体" w:cs="楷体"/>
          <w:sz w:val="24"/>
          <w:szCs w:val="24"/>
        </w:rPr>
        <w:t>子贡曰：《诗》云：’如切如磋,如琢如磨’ 其斯之谓与?“子曰：“赐也,始可与言《诗》已矣,告诸往而知来者</w:t>
      </w:r>
      <w:r>
        <w:rPr>
          <w:rFonts w:hint="eastAsia" w:ascii="楷体" w:hAnsi="楷体" w:eastAsia="楷体" w:cs="楷体"/>
          <w:sz w:val="24"/>
          <w:szCs w:val="24"/>
          <w:lang w:eastAsia="zh-CN"/>
        </w:rPr>
        <w:t>。</w:t>
      </w:r>
      <w:r>
        <w:rPr>
          <w:rFonts w:hint="eastAsia" w:ascii="楷体" w:hAnsi="楷体" w:eastAsia="楷体" w:cs="楷体"/>
          <w:sz w:val="24"/>
          <w:szCs w:val="24"/>
        </w:rPr>
        <w:t>”</w:t>
      </w:r>
      <w:r>
        <w:rPr>
          <w:rFonts w:hint="eastAsia" w:ascii="楷体" w:hAnsi="楷体" w:eastAsia="楷体" w:cs="楷体"/>
          <w:sz w:val="24"/>
          <w:szCs w:val="24"/>
          <w:lang w:eastAsia="zh-CN"/>
        </w:rPr>
        <w:t>（</w:t>
      </w:r>
      <w:r>
        <w:rPr>
          <w:rFonts w:hint="eastAsia" w:ascii="楷体" w:hAnsi="楷体" w:eastAsia="楷体" w:cs="楷体"/>
          <w:sz w:val="24"/>
          <w:szCs w:val="24"/>
        </w:rPr>
        <w:t>《论语·</w:t>
      </w:r>
      <w:r>
        <w:rPr>
          <w:rFonts w:hint="eastAsia" w:ascii="楷体" w:hAnsi="楷体" w:eastAsia="楷体" w:cs="楷体"/>
          <w:sz w:val="24"/>
          <w:szCs w:val="24"/>
          <w:lang w:eastAsia="zh-CN"/>
        </w:rPr>
        <w:t>学而</w:t>
      </w:r>
      <w:r>
        <w:rPr>
          <w:rFonts w:hint="eastAsia" w:ascii="楷体" w:hAnsi="楷体" w:eastAsia="楷体" w:cs="楷体"/>
          <w:sz w:val="24"/>
          <w:szCs w:val="24"/>
        </w:rPr>
        <w:t>》</w:t>
      </w:r>
      <w:r>
        <w:rPr>
          <w:rFonts w:hint="eastAsia" w:ascii="楷体" w:hAnsi="楷体" w:eastAsia="楷体" w:cs="楷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子曰：“温故而知新，可以为师矣。”（</w:t>
      </w:r>
      <w:r>
        <w:rPr>
          <w:rFonts w:hint="eastAsia" w:ascii="楷体" w:hAnsi="楷体" w:eastAsia="楷体" w:cs="楷体"/>
          <w:sz w:val="24"/>
          <w:szCs w:val="24"/>
        </w:rPr>
        <w:t>《论语·</w:t>
      </w:r>
      <w:r>
        <w:rPr>
          <w:rFonts w:hint="eastAsia" w:ascii="楷体" w:hAnsi="楷体" w:eastAsia="楷体" w:cs="楷体"/>
          <w:sz w:val="24"/>
          <w:szCs w:val="24"/>
          <w:lang w:eastAsia="zh-CN"/>
        </w:rPr>
        <w:t>为政</w:t>
      </w:r>
      <w:r>
        <w:rPr>
          <w:rFonts w:hint="eastAsia" w:ascii="楷体" w:hAnsi="楷体" w:eastAsia="楷体" w:cs="楷体"/>
          <w:sz w:val="24"/>
          <w:szCs w:val="24"/>
        </w:rPr>
        <w:t>》</w:t>
      </w:r>
      <w:r>
        <w:rPr>
          <w:rFonts w:hint="eastAsia" w:ascii="楷体" w:hAnsi="楷体" w:eastAsia="楷体" w:cs="楷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子张问：“十世可知也？”子曰：殷因于夏礼，所损益可知也；周因于殷礼，所损益可知也。 其或继周者，虽百世，可知也。” （</w:t>
      </w:r>
      <w:r>
        <w:rPr>
          <w:rFonts w:hint="eastAsia" w:ascii="楷体" w:hAnsi="楷体" w:eastAsia="楷体" w:cs="楷体"/>
          <w:sz w:val="24"/>
          <w:szCs w:val="24"/>
        </w:rPr>
        <w:t>《论语·</w:t>
      </w:r>
      <w:r>
        <w:rPr>
          <w:rFonts w:hint="eastAsia" w:ascii="楷体" w:hAnsi="楷体" w:eastAsia="楷体" w:cs="楷体"/>
          <w:sz w:val="24"/>
          <w:szCs w:val="24"/>
          <w:lang w:eastAsia="zh-CN"/>
        </w:rPr>
        <w:t>为政</w:t>
      </w:r>
      <w:r>
        <w:rPr>
          <w:rFonts w:hint="eastAsia" w:ascii="楷体" w:hAnsi="楷体" w:eastAsia="楷体" w:cs="楷体"/>
          <w:sz w:val="24"/>
          <w:szCs w:val="24"/>
        </w:rPr>
        <w:t>》</w:t>
      </w:r>
      <w:r>
        <w:rPr>
          <w:rFonts w:hint="eastAsia" w:ascii="楷体" w:hAnsi="楷体" w:eastAsia="楷体" w:cs="楷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“闻一知十”、“闻一知二”、“告诸往而知来者”、“温故而知新”以及“虽百世，可知也”都是由已知推到未知的思维过程，</w:t>
      </w:r>
      <w:r>
        <w:rPr>
          <w:rStyle w:val="14"/>
          <w:rFonts w:hint="eastAsia" w:ascii="宋体" w:hAnsi="宋体" w:eastAsia="宋体" w:cs="宋体"/>
          <w:sz w:val="24"/>
          <w:szCs w:val="24"/>
          <w:lang w:eastAsia="zh-CN"/>
        </w:rPr>
        <w:footnoteReference w:id="12"/>
      </w:r>
      <w:r>
        <w:rPr>
          <w:rFonts w:hint="eastAsia" w:ascii="宋体" w:hAnsi="宋体" w:eastAsia="宋体" w:cs="宋体"/>
          <w:sz w:val="24"/>
          <w:szCs w:val="24"/>
          <w:lang w:eastAsia="zh-CN"/>
        </w:rPr>
        <w:t>虽然并没有明确的推论形式、规则和方法，但作为最初的</w:t>
      </w:r>
      <w:r>
        <w:rPr>
          <w:rFonts w:hint="eastAsia" w:ascii="宋体" w:hAnsi="宋体" w:eastAsia="宋体" w:cs="宋体"/>
          <w:sz w:val="24"/>
          <w:szCs w:val="24"/>
        </w:rPr>
        <w:t>推类意识</w:t>
      </w:r>
      <w:r>
        <w:rPr>
          <w:rFonts w:hint="eastAsia" w:ascii="宋体" w:hAnsi="宋体" w:eastAsia="宋体" w:cs="宋体"/>
          <w:sz w:val="24"/>
          <w:szCs w:val="24"/>
          <w:lang w:eastAsia="zh-CN"/>
        </w:rPr>
        <w:t>的产生</w:t>
      </w:r>
      <w:r>
        <w:rPr>
          <w:rFonts w:hint="eastAsia" w:ascii="宋体" w:hAnsi="宋体" w:eastAsia="宋体" w:cs="宋体"/>
          <w:sz w:val="24"/>
          <w:szCs w:val="24"/>
        </w:rPr>
        <w:t>和实践</w:t>
      </w:r>
      <w:r>
        <w:rPr>
          <w:rFonts w:hint="eastAsia" w:ascii="宋体" w:hAnsi="宋体" w:eastAsia="宋体" w:cs="宋体"/>
          <w:sz w:val="24"/>
          <w:szCs w:val="24"/>
          <w:lang w:eastAsia="zh-CN"/>
        </w:rPr>
        <w:t>应用，具有重要意义。</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rPr>
      </w:pPr>
    </w:p>
    <w:p>
      <w:pPr>
        <w:keepNext w:val="0"/>
        <w:keepLines w:val="0"/>
        <w:pageBreakBefore w:val="0"/>
        <w:widowControl w:val="0"/>
        <w:numPr>
          <w:ilvl w:val="0"/>
          <w:numId w:val="5"/>
        </w:numPr>
        <w:kinsoku/>
        <w:wordWrap/>
        <w:overflowPunct/>
        <w:topLinePunct w:val="0"/>
        <w:autoSpaceDE/>
        <w:autoSpaceDN/>
        <w:bidi w:val="0"/>
        <w:adjustRightInd/>
        <w:spacing w:line="360" w:lineRule="auto"/>
        <w:ind w:right="0" w:rightChars="0"/>
        <w:textAlignment w:val="auto"/>
        <w:rPr>
          <w:rFonts w:hint="eastAsia" w:ascii="仿宋" w:hAnsi="仿宋" w:eastAsia="仿宋" w:cs="仿宋"/>
          <w:b/>
          <w:bCs/>
          <w:sz w:val="24"/>
          <w:szCs w:val="24"/>
        </w:rPr>
      </w:pPr>
      <w:r>
        <w:rPr>
          <w:rFonts w:hint="eastAsia" w:ascii="仿宋" w:hAnsi="仿宋" w:eastAsia="仿宋" w:cs="仿宋"/>
          <w:b/>
          <w:bCs/>
          <w:sz w:val="24"/>
          <w:szCs w:val="24"/>
        </w:rPr>
        <w:t>墨子</w:t>
      </w:r>
      <w:r>
        <w:rPr>
          <w:rFonts w:hint="eastAsia" w:ascii="仿宋" w:hAnsi="仿宋" w:eastAsia="仿宋" w:cs="仿宋"/>
          <w:b/>
          <w:bCs/>
          <w:sz w:val="24"/>
          <w:szCs w:val="24"/>
          <w:lang w:eastAsia="zh-CN"/>
        </w:rPr>
        <w:t>关于</w:t>
      </w:r>
      <w:r>
        <w:rPr>
          <w:rFonts w:hint="eastAsia" w:ascii="仿宋" w:hAnsi="仿宋" w:eastAsia="仿宋" w:cs="仿宋"/>
          <w:b/>
          <w:bCs/>
          <w:sz w:val="24"/>
          <w:szCs w:val="24"/>
        </w:rPr>
        <w:t>思想论证的“察类”和“明故”的逻辑意识与要求</w:t>
      </w:r>
      <w:r>
        <w:rPr>
          <w:rFonts w:hint="eastAsia" w:ascii="仿宋" w:hAnsi="仿宋" w:eastAsia="仿宋" w:cs="仿宋"/>
          <w:b/>
          <w:bCs/>
          <w:sz w:val="24"/>
          <w:szCs w:val="24"/>
          <w:lang w:eastAsia="zh-CN"/>
        </w:rPr>
        <w:t>。对于</w:t>
      </w:r>
      <w:r>
        <w:rPr>
          <w:rFonts w:hint="eastAsia" w:ascii="仿宋" w:hAnsi="仿宋" w:eastAsia="仿宋" w:cs="仿宋"/>
          <w:b/>
          <w:bCs/>
          <w:sz w:val="24"/>
          <w:szCs w:val="24"/>
        </w:rPr>
        <w:t>类和故的关系，矛盾反驳法中推类</w:t>
      </w:r>
      <w:r>
        <w:rPr>
          <w:rFonts w:hint="eastAsia" w:ascii="仿宋" w:hAnsi="仿宋" w:eastAsia="仿宋" w:cs="仿宋"/>
          <w:b/>
          <w:bCs/>
          <w:sz w:val="24"/>
          <w:szCs w:val="24"/>
          <w:lang w:eastAsia="zh-CN"/>
        </w:rPr>
        <w:t>的讨论</w:t>
      </w:r>
      <w:r>
        <w:rPr>
          <w:rFonts w:hint="eastAsia" w:ascii="仿宋" w:hAnsi="仿宋" w:eastAsia="仿宋" w:cs="仿宋"/>
          <w:b/>
          <w:bCs/>
          <w:sz w:val="24"/>
          <w:szCs w:val="24"/>
        </w:rPr>
        <w:t>。</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墨子在论辩当中运用“类”概念最多</w:t>
      </w:r>
      <w:r>
        <w:rPr>
          <w:rStyle w:val="14"/>
          <w:rFonts w:hint="eastAsia" w:ascii="宋体" w:hAnsi="宋体" w:eastAsia="宋体" w:cs="宋体"/>
          <w:sz w:val="24"/>
          <w:szCs w:val="24"/>
          <w:lang w:eastAsia="zh-CN"/>
        </w:rPr>
        <w:footnoteReference w:id="13"/>
      </w:r>
      <w:r>
        <w:rPr>
          <w:rFonts w:hint="eastAsia" w:ascii="宋体" w:hAnsi="宋体" w:eastAsia="宋体" w:cs="宋体"/>
          <w:sz w:val="24"/>
          <w:szCs w:val="24"/>
          <w:lang w:eastAsia="zh-CN"/>
        </w:rPr>
        <w:t>，不仅强调“知类”、“察类”，还提出了“察类明故”的思想。“类”何以得到墨子如此的重视呢？因为“类”是“说”的基础，而“说”是先秦思想家重要的谈说论辩的语言形式之一；在“类”与“故”的关系上，“察类”是“明故”的前提，只有明确了事物之间的同异关系，区分了不同类别的事物，才能针对某一类事物提出见解，并提出这一见解背后的理由、依据，才能正确理解其他观点和其背后的理由，唯如此才能在论辩中常常得胜，宣说自己的观点。比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子墨子起，再拜，曰：“请说之。 吾从北方闻子为梯，将以攻宋。宋何罪之有？荆国有余于地而不足于民，杀所不足而争所有余，不可谓智。宋无罪而攻之，不可谓仁。知而不争，不可谓忠。争而不得，不可谓强。义不杀少而杀众，不可谓知类。”公输盘服。（《墨子·公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子墨子见王，曰：“今有人于此，舍其文轩，邻有敝舆而欲窃之；舍其锦绣，邻有短褐而欲窃之；舍其粱肉，邻有糠糟而欲窃之。此为何若人？”王曰：“必为有窃疾矣。”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子墨子曰：“荆之地方五千里，宋之地方五百里，此犹文轩之与敝舆也。荆有云梦，犀兕麋鹿满之，江汉之鱼鳖鼋鼍为天下富，宋所谓无雉兔鲋鱼者也，此犹粱肉之与糠糟也。荆有长松文梓楩楠豫章，宋无长木，此犹锦绣之与短褐也。臣以王吏之攻宋也，为与此同类。”（《墨子·公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不可谓知类”“为与此同类”表明了墨子在论辩过程中十分重视对“类”的把握，通常从最基础的“类”入手，论证同类或异类，从而进行正确的推论，以驳倒对方的观点。在墨子看来，公输盘“吾义固不杀人”</w:t>
      </w:r>
      <w:r>
        <w:rPr>
          <w:rStyle w:val="14"/>
          <w:rFonts w:hint="eastAsia" w:ascii="宋体" w:hAnsi="宋体" w:eastAsia="宋体" w:cs="宋体"/>
          <w:sz w:val="24"/>
          <w:szCs w:val="24"/>
          <w:lang w:eastAsia="zh-CN"/>
        </w:rPr>
        <w:footnoteReference w:id="14"/>
      </w:r>
      <w:r>
        <w:rPr>
          <w:rFonts w:hint="eastAsia" w:ascii="宋体" w:hAnsi="宋体" w:eastAsia="宋体" w:cs="宋体"/>
          <w:sz w:val="24"/>
          <w:szCs w:val="24"/>
          <w:lang w:eastAsia="zh-CN"/>
        </w:rPr>
        <w:t>是不知道“杀少”与“杀众”同是“杀人”之类的表现，也正因为如此，公输盘的观点是站不住脚的，论辩的结果自然是“公输盘服”。墨子见到楚王，又论述楚国攻打宋国与患盗窃病的人“同类”，使楚王认识到伐宋不仅会伤害道义，且于己也无好处，这场论辩，亦是墨子运用推类论证自己观点的例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rPr>
      </w:pPr>
      <w:r>
        <w:rPr>
          <w:rFonts w:hint="eastAsia" w:ascii="楷体" w:hAnsi="楷体" w:eastAsia="楷体" w:cs="楷体"/>
          <w:sz w:val="24"/>
          <w:szCs w:val="24"/>
        </w:rPr>
        <w:t>今遝夫好攻伐之君，又饰其说，以非子墨子曰：“以攻伐之为不义，非利物与？昔者禹征有苗，汤伐桀，武王伐纣，此皆立为圣王，是何故也？”子墨子言曰：“子未察吾言之类，未明其故者也。彼非所谓‘攻’，谓‘诛’也。</w:t>
      </w:r>
      <w:r>
        <w:rPr>
          <w:rFonts w:hint="eastAsia" w:ascii="楷体" w:hAnsi="楷体" w:eastAsia="楷体" w:cs="楷体"/>
          <w:sz w:val="24"/>
          <w:szCs w:val="24"/>
          <w:lang w:eastAsia="zh-CN"/>
        </w:rPr>
        <w:t>（《墨子·非攻下》）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rPr>
        <w:t>则夫好攻伐之君又饰其说，以非子墨子曰：“子以攻伐为不义，非利物与？昔者楚熊丽，始讨此睢山之间，越王繄亏，出自有遽，始邦于越；唐叔与吕尚邦齐、晋。此皆地方数百里，今以并国之故，四分天下而有之。是故何也？”子墨子曰：“子未察吾言之类，未明其故者也。古者天子之始封诸侯也，万有馀；今以并国之故，万国有馀皆灭，而四国独立。此譬犹医之药万有馀人，而四人愈也。则不可谓良医矣。”</w:t>
      </w:r>
      <w:r>
        <w:rPr>
          <w:rFonts w:hint="eastAsia" w:ascii="楷体" w:hAnsi="楷体" w:eastAsia="楷体" w:cs="楷体"/>
          <w:sz w:val="24"/>
          <w:szCs w:val="24"/>
          <w:lang w:eastAsia="zh-CN"/>
        </w:rPr>
        <w:t>（《墨子·非攻下》）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这是说，墨子“察类”是以事物的本质属性作为区分依据，而不是表面特征。这种“类”即本质思想，体现出了“类”已经成为真正逻辑意义上的“类”范畴。为了反驳好战之君的观点，墨子指出要认识到“攻”与“诛”本质上的不同，它们并不属于一类。墨子还指出，吞并他国“此譬犹医之药万有馀人，而四人愈”，这样跟医治万余人却只治愈四人的庸医属于同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墨子以言辞游说谈辩，以“类同”作为推类依据，以“不类”反驳对方的推类。“故”是立辞的理由，“类”是“故”得以提出的基础。墨子明确地把“知类”和“明故”联系起来，作为立辞与辩说的基本原则。</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rPr>
      </w:pPr>
    </w:p>
    <w:p>
      <w:pPr>
        <w:keepNext w:val="0"/>
        <w:keepLines w:val="0"/>
        <w:pageBreakBefore w:val="0"/>
        <w:widowControl w:val="0"/>
        <w:numPr>
          <w:ilvl w:val="0"/>
          <w:numId w:val="5"/>
        </w:numPr>
        <w:kinsoku/>
        <w:wordWrap/>
        <w:overflowPunct/>
        <w:topLinePunct w:val="0"/>
        <w:autoSpaceDE/>
        <w:autoSpaceDN/>
        <w:bidi w:val="0"/>
        <w:adjustRightInd/>
        <w:spacing w:line="360" w:lineRule="auto"/>
        <w:ind w:right="0" w:righ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孟子</w:t>
      </w:r>
      <w:r>
        <w:rPr>
          <w:rFonts w:hint="eastAsia" w:ascii="仿宋" w:hAnsi="仿宋" w:eastAsia="仿宋" w:cs="仿宋"/>
          <w:b/>
          <w:bCs/>
          <w:sz w:val="24"/>
          <w:szCs w:val="24"/>
          <w:lang w:eastAsia="zh-CN"/>
        </w:rPr>
        <w:t>对</w:t>
      </w:r>
      <w:r>
        <w:rPr>
          <w:rFonts w:hint="eastAsia" w:ascii="仿宋" w:hAnsi="仿宋" w:eastAsia="仿宋" w:cs="仿宋"/>
          <w:b/>
          <w:bCs/>
          <w:sz w:val="24"/>
          <w:szCs w:val="24"/>
          <w:lang w:val="en-US" w:eastAsia="zh-CN"/>
        </w:rPr>
        <w:t>“类”概念的强调，比附方法的普遍应用。</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rPr>
        <w:t>公都子曰：‘外人皆称夫子好辩，敢问何也？’孟子曰</w:t>
      </w:r>
      <w:r>
        <w:rPr>
          <w:rFonts w:hint="eastAsia" w:ascii="宋体" w:hAnsi="宋体" w:eastAsia="宋体" w:cs="宋体"/>
          <w:sz w:val="24"/>
          <w:szCs w:val="24"/>
          <w:lang w:eastAsia="zh-CN"/>
        </w:rPr>
        <w:t>：‘</w:t>
      </w:r>
      <w:r>
        <w:rPr>
          <w:rFonts w:hint="eastAsia" w:ascii="宋体" w:hAnsi="宋体" w:eastAsia="宋体" w:cs="宋体"/>
          <w:sz w:val="24"/>
          <w:szCs w:val="24"/>
        </w:rPr>
        <w:t>予岂好辩哉？予不得已也</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lang w:eastAsia="zh-CN"/>
        </w:rPr>
        <w:t>……</w:t>
      </w:r>
      <w:r>
        <w:rPr>
          <w:rFonts w:hint="eastAsia" w:ascii="Arial" w:hAnsi="Arial" w:eastAsia="宋体" w:cs="Arial"/>
          <w:sz w:val="24"/>
          <w:szCs w:val="24"/>
          <w:lang w:eastAsia="zh-CN"/>
        </w:rPr>
        <w:t>我亦欲正人心，息邪说，距诐行，放淫辞，以承三圣者。岂好辩哉？予不得已也。</w:t>
      </w:r>
      <w:r>
        <w:rPr>
          <w:rFonts w:hint="eastAsia" w:ascii="宋体" w:hAnsi="宋体" w:eastAsia="宋体" w:cs="宋体"/>
          <w:sz w:val="24"/>
          <w:szCs w:val="24"/>
          <w:lang w:eastAsia="zh-CN"/>
        </w:rPr>
        <w:t>”（《孟子·滕文公下》）孟子极力排斥杨朱、墨翟学派，并以战胜邪说，捍卫“孔子之道”为己任，故重视辩论，重视逻辑思维。孟子虽极言辟杨、墨，但又不免接受墨子的影响，他袭用了墨子学派所发现的类范畴，以之为比附的依据，也十分重视对“类”的研究。</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麒麟之于走兽，凤凰之于飞鸟，太行之于丘垤，河海之于行潦，类也。圣人之于民，亦类也。（《孟子·公孙丑上》）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故凡同类者，举相似也，何独至于人而疑之？圣人与我同类者。故龙子曰：“不知足而为屦，我知其不为蒉也。”屦之相似，天下之足同也。（《孟子·告子上》）</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楷体" w:hAnsi="楷体" w:eastAsia="楷体" w:cs="楷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在孟子看来，同一类就是“举相似”，指具有共同属性或相似属性的事物的集合。他认为麒麟与走兽，凤凰与飞鸟，太行与丘垤，河海与行潦各为一类，圣人与民，也是一类。这正如不知道别人的脚却仍然可以做出鞋子，是因为天下所有人的脚都是相似的。</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楷体" w:hAnsi="楷体" w:eastAsia="楷体" w:cs="楷体"/>
          <w:b w:val="0"/>
          <w:i w:val="0"/>
          <w:caps w:val="0"/>
          <w:color w:val="333333"/>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白羽之白也，犹白雪之白；白雪之白，犹白玉之白。（《孟子·告子上》）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白羽、白雪、白玉</w:t>
      </w:r>
      <w:r>
        <w:rPr>
          <w:rFonts w:hint="eastAsia" w:ascii="宋体" w:hAnsi="宋体" w:eastAsia="宋体" w:cs="宋体"/>
          <w:sz w:val="24"/>
          <w:szCs w:val="24"/>
          <w:lang w:eastAsia="zh-CN"/>
        </w:rPr>
        <w:t>三者（虽然是不同的事物，但）所具有的“白”的属性是一样的，因此它们都属于“白”的类。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孟子将“相似”作为“类”的基本含义</w:t>
      </w:r>
      <w:r>
        <w:rPr>
          <w:rFonts w:hint="eastAsia" w:ascii="宋体" w:hAnsi="宋体" w:eastAsia="宋体" w:cs="宋体"/>
          <w:sz w:val="24"/>
          <w:szCs w:val="24"/>
          <w:lang w:eastAsia="zh-CN"/>
        </w:rPr>
        <w:t>的同时，又十分重视对同类事物本质属性的考察，认为一个类中还有不同的小类，以及表面上看似大体相似可归为一类的事物在本质上却很不同。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圣人之于民，亦类也。出于其类，拔乎其萃。（《孟子·公孙丑上》）</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孟子不仅考察了类的共同性和普遍性，即类同；还分析了类与类之间的差异性，即类异。他十分重视“类”概念及分类思维在认识世界、获得知识和施政为人中的作用。</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夫物之不齐，物之情也。或相倍蓰，或相什百，或相千万。子比而同之，是乱天下也。巨屦小屦同贾，人岂为之哉？从许子之道，相率而为伪者也，恶能治国家？（《孟子·滕文公上》）</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孟子重视“类”概念的同时，还蹈袭了墨家主张的“异类不比”。如：</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孟子谓蚳蛙</w:t>
      </w:r>
      <w:r>
        <w:rPr>
          <w:rStyle w:val="14"/>
          <w:rFonts w:hint="eastAsia" w:ascii="楷体" w:hAnsi="楷体" w:eastAsia="楷体" w:cs="楷体"/>
          <w:sz w:val="24"/>
          <w:szCs w:val="24"/>
          <w:lang w:eastAsia="zh-CN"/>
        </w:rPr>
        <w:footnoteReference w:id="15"/>
      </w:r>
      <w:r>
        <w:rPr>
          <w:rFonts w:hint="eastAsia" w:ascii="楷体" w:hAnsi="楷体" w:eastAsia="楷体" w:cs="楷体"/>
          <w:sz w:val="24"/>
          <w:szCs w:val="24"/>
          <w:lang w:eastAsia="zh-CN"/>
        </w:rPr>
        <w:t>曰：“子之辞灵丘而请士师，似也，为其可以言也。今既数月矣，未可以言与？”</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蚳蛙谏于王而不用，致为臣而去。齐人曰：“所以为蚳蛙则善矣； 所以自为，则吾不知也。”</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公都子以告。曰：“吾闻之也：有官守者，不得其职则去；有言责者，不得其言则去。我无官守，我无言责也，则吾进退，岂不绰绰然有余裕者？”（《孟子·公孙丑下》）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在孟子看来，有官守与无官守，有言责与无言责并非同类，不能同一比论，而齐人仿效孟子的比喻方式诘难，是“不知类”的表现。</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沈同以其私问曰：“燕可伐与？”孟子曰：“可。子哙不得与人燕，子之不得受燕於子哙；有仕於此，而子悦之，不告於王，而私与之吾子之禄爵；夫士也，亦无王命而私受之於子：则可乎？何以异於是！”齐人伐燕。或问曰：“劝其伐燕，有诸？”曰：“未也。”</w:t>
      </w:r>
      <w:r>
        <w:rPr>
          <w:rFonts w:hint="eastAsia" w:ascii="Arial" w:hAnsi="Arial" w:eastAsia="楷体" w:cs="Arial"/>
          <w:sz w:val="24"/>
          <w:szCs w:val="24"/>
          <w:lang w:eastAsia="zh-CN"/>
        </w:rPr>
        <w:t>……</w:t>
      </w:r>
      <w:r>
        <w:rPr>
          <w:rFonts w:hint="eastAsia" w:ascii="楷体" w:hAnsi="楷体" w:eastAsia="楷体" w:cs="楷体"/>
          <w:sz w:val="24"/>
          <w:szCs w:val="24"/>
          <w:lang w:eastAsia="zh-CN"/>
        </w:rPr>
        <w:t>彼如曰：“孰可以伐之？”则将应之曰：“为天吏则可以伐之。”今有杀人者，或问之曰：“人可杀与？”则将应之曰：“可。”彼如曰：“孰可以杀之？”则将应之曰：“为士师则可以杀之。”今以燕伐燕，何为劝之哉！（《孟子·公孙丑下》）</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这就是说，肯定“有道”征讨“无道”与肯定“无道”之间自相征伐不是同类。孟子即用这种异类不可比附推论的道理来反驳他的论敌。</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“挟太山以超北海，语人曰‘我不能’，是诚不能也。为长者折枝,语人曰‘我不能’，是不为也，非不能也。故王之不王，非挟太山以超北海之类也；王之不王，是折枝之类也。”（《孟子·梁惠王上》）</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这就是说，“不为”与“不能”是两类不同的行为，不能用不同类的事物比附推论。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孟子不但运用了“类”的概念，指出了“类”的定义，分析了不同类之间的差异性、同类之间的联系，并且以这些为依据，发挥了“推”的方法。</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老吾老，以及人之老；幼吾幼，以及人之幼。天下可运于掌。《诗》云：“刑于寡妻，至于兄弟，以御于家邦。”言举斯心，加诸彼而已。故推恩足以保四海，不推恩无以保妻子。古之人所以大过人者无他焉，善推其所为而已矣。（《孟子·梁惠王上》）</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孟子怀着政治抱负游说诸侯，宣说他的政治伦理主张，在此过程中形成并运用了寓言明理、博喻巧譬的推类思维方法。《孟子》全书</w:t>
      </w:r>
      <w:r>
        <w:rPr>
          <w:rFonts w:hint="eastAsia" w:ascii="宋体" w:hAnsi="宋体" w:eastAsia="宋体" w:cs="宋体"/>
          <w:sz w:val="24"/>
          <w:szCs w:val="24"/>
          <w:lang w:val="en-US" w:eastAsia="zh-CN"/>
        </w:rPr>
        <w:t>261章，其中运用比附方法论述问题的有61例。</w:t>
      </w:r>
      <w:r>
        <w:rPr>
          <w:rFonts w:hint="eastAsia" w:ascii="宋体" w:hAnsi="宋体" w:eastAsia="宋体" w:cs="宋体"/>
          <w:sz w:val="24"/>
          <w:szCs w:val="24"/>
          <w:lang w:eastAsia="zh-CN"/>
        </w:rPr>
        <w:t>孟子主张的“推”侧重对“仁”的发展，多表现为“推己及人”的伦理道德规范及社会秩序上的论证方式。在孟子看来，“推”表现为不仅尊敬赡养自己的老人，还由此推及到尊敬赡养别人的老人，由爱护自己的孩子，推及到爱护别人的孩子，推“仁”，推“爱”，“推恩足以保四海”。孟子将“推己及人”的伦理的事理延展到政治上，延展到捍卫儒学的论争上，形成了孟子的推类思维方法，造就了他的语言逻辑艺术。他在谈说论辩当中运用这种论证方法，从生活中众所周知、司空见惯的事情入手，比喻生动自然，层层推进、环环相扣、以谬制谬，从而战胜论辩对手。</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孟子谓齐宣王曰：“王之臣，有托其妻子于其友而之楚游者。比其反也，则冻馁其妻子，则如之何？”王曰：“弃之。”曰：“士师不能治士，则如之何？”王曰：“已之。”曰：“四境之内不治，则如之何？”王顾左右而言他。（《孟子·梁惠王下》）</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孟子从双方都熟悉的生活小事发端，从友人、狱官到国家的统治者，引导齐宣王步步推论，对不信不义的友人要抛弃，对管理不力的狱官要罢免，那么对于一个不能将国家治理妥善的君王应当如何处置呢？显而易见的推论答案使得齐宣王陷入窘境，只能顾左右而言他。</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任人有问屋庐子曰：“礼与食孰重？”曰：“礼重。”“色与礼孰重？”曰：“礼重。”曰：“以礼食，则饥而死。不以礼食，则得食。必以礼乎？亲迎，则不得妻。不亲迎，则得妻。必亲迎乎？”屋庐子不能对，明日之邹以告孟子。孟子曰：“于答是也何有！不揣其本而齐其末，方寸之木，可使高于岑楼。金重于羽者，岂谓一钩金与一舆羽之谓哉！取食之重者，与礼之轻者而比之，奚翅食重！取色之重者，与礼之轻者而比之，奚翅色重！往应之曰：轸兄之臂而夺之食，则得食，不轸则不得食，则将轸乎？逾东家墙而搂其处子，则得妻，不搂则不得妻，则将搂之乎？”（《孟子·告子下》）</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有人问到，“礼”相较之食物，相较于娶妻哪个更重要的问题，孟子以金子和羽毛的重量比较进行类比推论，指出任国人的问题在于将不同类的事物比附推论，从不当的比较和类比中得出了荒谬结论。孟子形象地指出，如果不采用同一的标准，就可得出放在高处的寸厚木块比高楼还要高的谬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孙中原先生指出，孟子的这一场辩论等于指出了类比推理的规则：类比的性质应该是本质的，类比的过程应该采取同一标准。</w:t>
      </w:r>
      <w:r>
        <w:rPr>
          <w:rStyle w:val="14"/>
          <w:rFonts w:hint="eastAsia" w:ascii="宋体" w:hAnsi="宋体" w:eastAsia="宋体" w:cs="宋体"/>
          <w:sz w:val="24"/>
          <w:szCs w:val="24"/>
          <w:lang w:eastAsia="zh-CN"/>
        </w:rPr>
        <w:footnoteReference w:id="16"/>
      </w:r>
      <w:r>
        <w:rPr>
          <w:rFonts w:hint="eastAsia" w:ascii="宋体" w:hAnsi="宋体" w:eastAsia="宋体" w:cs="宋体"/>
          <w:sz w:val="24"/>
          <w:szCs w:val="24"/>
          <w:lang w:eastAsia="zh-CN"/>
        </w:rPr>
        <w:t>孟子的推类思想主要是对事物事件做出定性分析，通过对基本性质的判断和比较，论证自己的观点并给人们的决策提供参考。</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由于历史和自身的局限性</w:t>
      </w:r>
      <w:r>
        <w:rPr>
          <w:rStyle w:val="14"/>
          <w:rFonts w:hint="eastAsia" w:ascii="宋体" w:hAnsi="宋体" w:eastAsia="宋体" w:cs="宋体"/>
          <w:sz w:val="24"/>
          <w:szCs w:val="24"/>
          <w:lang w:eastAsia="zh-CN"/>
        </w:rPr>
        <w:footnoteReference w:id="17"/>
      </w:r>
      <w:r>
        <w:rPr>
          <w:rFonts w:hint="eastAsia" w:ascii="宋体" w:hAnsi="宋体" w:eastAsia="宋体" w:cs="宋体"/>
          <w:sz w:val="24"/>
          <w:szCs w:val="24"/>
          <w:lang w:eastAsia="zh-CN"/>
        </w:rPr>
        <w:t>，孟子对于推类思想的思考和研究还不够深入，比如对“类”概念的认识，在孟子看来，同类者即必有相似之处，这只停留在对事物表面相似性的认识上。因为对“类”概念认识不清，那么“推类”也就难免产生谬误。对于孟子推比失当的错误，王充批评说：“孟子非之，是为太备矣。”（《论衡·刺孟篇》）荀子也批评孟子“甚僻讳而无类”（《荀子·非十二子》）。</w:t>
      </w:r>
      <w:r>
        <w:rPr>
          <w:rStyle w:val="14"/>
          <w:rFonts w:hint="eastAsia" w:ascii="宋体" w:hAnsi="宋体" w:eastAsia="宋体" w:cs="宋体"/>
          <w:sz w:val="24"/>
          <w:szCs w:val="24"/>
          <w:lang w:eastAsia="zh-CN"/>
        </w:rPr>
        <w:footnoteReference w:id="18"/>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4、</w:t>
      </w:r>
      <w:r>
        <w:rPr>
          <w:rFonts w:hint="eastAsia" w:ascii="仿宋" w:hAnsi="仿宋" w:eastAsia="仿宋" w:cs="仿宋"/>
          <w:b/>
          <w:bCs/>
          <w:sz w:val="24"/>
          <w:szCs w:val="24"/>
        </w:rPr>
        <w:t>荀子正名思想中的推类单、兼、共、别之名间的类推：“单足以喻则单，单不足以喻则兼”；“推而共之”、“推而别之”。</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集诸子百家之成而独树一帜的荀子，在论辩的实践当中继承并发展墨家的“类”、“故”、“理”等概念，尤其发展了关于“类”范畴的学说。荀子系统地阐述了“类”范畴的逻辑意义，使“类”范畴在先秦逻辑推论中的核心地位得以确立，这些思想主要见于他的正名思想当中。荀子认为，知类才能正确地做出判断。他不仅将知类作为制名、析辞、立说的基础和根据，还提出了“物各从其类”，“类不悖，虽久同理”</w:t>
      </w:r>
      <w:r>
        <w:rPr>
          <w:rStyle w:val="14"/>
          <w:rFonts w:hint="eastAsia" w:ascii="宋体" w:hAnsi="宋体" w:eastAsia="宋体" w:cs="宋体"/>
          <w:sz w:val="24"/>
          <w:szCs w:val="24"/>
          <w:lang w:eastAsia="zh-CN"/>
        </w:rPr>
        <w:footnoteReference w:id="19"/>
      </w:r>
      <w:r>
        <w:rPr>
          <w:rFonts w:hint="eastAsia" w:ascii="宋体" w:hAnsi="宋体" w:eastAsia="宋体" w:cs="宋体"/>
          <w:sz w:val="24"/>
          <w:szCs w:val="24"/>
          <w:lang w:eastAsia="zh-CN"/>
        </w:rPr>
        <w:t>，“推类而不悖”等思想。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荀子强调知类，他认为准确把握“类”范畴，能够超越人们经验的感性认识，而达到对事物本质和规律的认识：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以浅持博，以古持今，以一持万；苟仁义之类也，虽在鸟兽之中，若别白黑，倚物怪变，所未尝闻也，所未尝见也，卒然起一方，则举统类而应之。（《荀子·儒效》）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人们的认识只有做到“知而能类”，才能超越感性认识的局限，达到“以浅持博，以古持今，以一持万”，由已知推到未知的逻辑推理的理想水平。荀子还说：“故以人度人，以情度情，以类度类……虽久同理。”（《荀子·非相》）在同类事物当中可以由此推彼，有时甚至可以超越时空的局限。“类不悖，虽久同理”，亦能把握相同的性质和规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sz w:val="24"/>
          <w:szCs w:val="24"/>
          <w:lang w:eastAsia="zh-CN"/>
        </w:rPr>
        <w:t>荀子认为事物有不同的类别，同类事物都有相同的道理，即</w:t>
      </w:r>
      <w:r>
        <w:rPr>
          <w:rFonts w:hint="eastAsia" w:ascii="宋体" w:hAnsi="宋体" w:eastAsia="宋体" w:cs="宋体"/>
          <w:sz w:val="24"/>
          <w:szCs w:val="24"/>
          <w:lang w:eastAsia="zh-CN"/>
        </w:rPr>
        <w:t>“物各从其类”。</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物类之起，必有所始。荣辱之来，必象其德。肉腐出虫，鱼枯生蠹。怠慢忘身，祸灾乃作。强自取柱，柔自取束。邪秽在身，怨之所构。施薪若一，火就燥也，平地若一，水就湿也。草木畴生，禽兽群焉，物各从其类也。 （《荀子·劝学》）</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楷体" w:hAnsi="楷体" w:eastAsia="楷体" w:cs="楷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highlight w:val="magenta"/>
          <w:lang w:val="en-US" w:eastAsia="zh-CN"/>
        </w:rPr>
      </w:pPr>
      <w:r>
        <w:rPr>
          <w:rFonts w:hint="eastAsia" w:ascii="宋体" w:hAnsi="宋体" w:eastAsia="宋体" w:cs="宋体"/>
          <w:sz w:val="24"/>
          <w:szCs w:val="24"/>
          <w:lang w:val="en-US" w:eastAsia="zh-CN"/>
        </w:rPr>
        <w:t>荀子十分重视名实关系，并在《正名》当中进行了深刻、完整的论述。他指出了“制名”的意义：“制名以指实，上以明贵贱，下以辨同异”。荀子还考察了</w:t>
      </w:r>
      <w:r>
        <w:rPr>
          <w:rFonts w:hint="eastAsia" w:ascii="宋体" w:hAnsi="宋体" w:eastAsia="宋体" w:cs="宋体"/>
          <w:sz w:val="24"/>
          <w:szCs w:val="24"/>
          <w:highlight w:val="none"/>
          <w:lang w:val="en-US" w:eastAsia="zh-CN"/>
        </w:rPr>
        <w:t>制名和用名的逻辑方法，提出“同则同之，异则异之；单足以喻则单，单不足以喻则兼；单与兼无所相避则共，虽共，不为害矣。”（《荀子·正名》）这里，荀子认为，名是用来指实的，事物有同有异，同实就要同名，异实就要异名。“单”，单名，指单称词，即一个字构成的语词。“兼”，兼名，指兼称词，即几个单称词构成的语词。当用单称词就可以准确的指称事物时，用单称词，而如果单称词不足以准确指称时，要用兼称词。</w:t>
      </w:r>
      <w:r>
        <w:rPr>
          <w:rStyle w:val="14"/>
          <w:rFonts w:hint="eastAsia" w:ascii="宋体" w:hAnsi="宋体" w:eastAsia="宋体" w:cs="宋体"/>
          <w:sz w:val="24"/>
          <w:szCs w:val="24"/>
          <w:highlight w:val="none"/>
          <w:lang w:val="en-US" w:eastAsia="zh-CN"/>
        </w:rPr>
        <w:footnoteReference w:id="20"/>
      </w:r>
      <w:r>
        <w:rPr>
          <w:rFonts w:hint="eastAsia" w:ascii="宋体" w:hAnsi="宋体" w:eastAsia="宋体" w:cs="宋体"/>
          <w:sz w:val="24"/>
          <w:szCs w:val="24"/>
          <w:highlight w:val="none"/>
          <w:lang w:val="en-US" w:eastAsia="zh-CN"/>
        </w:rPr>
        <w:t>如果在指称事物时使用单称词与使用兼称词不互相冲突，就可以共同使用这些词来指称。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荀子对名作了逻辑的分类，他把名分为“共名”、“别名”、“大共名”、“大别名”。大共名是外延最大的普遍概念，大别名是外延最小的单独概念。“共名”是一类事物共有的名，“别名”是一类对象中的一部分事物，“共名”和“别名”的关系是属种关系，是大共名（普遍概念）和大别名（单独概念）之间的不同层次的类名：</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故万物虽众，有时而欲遍举之，故谓之物。物也者，大共名也。推而共之，共则有共，至于无共然后止。有时而欲偏举之，故谓之鸟兽。鸟兽也者，大别名也。推而别之，别则有别，至于无别然后止。（《荀子·正名》）</w:t>
      </w:r>
      <w:r>
        <w:rPr>
          <w:rStyle w:val="14"/>
          <w:rFonts w:hint="eastAsia" w:ascii="楷体" w:hAnsi="楷体" w:eastAsia="楷体" w:cs="楷体"/>
          <w:sz w:val="24"/>
          <w:szCs w:val="24"/>
          <w:lang w:val="en-US" w:eastAsia="zh-CN"/>
        </w:rPr>
        <w:footnoteReference w:id="21"/>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荀子对名的逻辑分类，与《墨辩》把名分为“达名”、“类名”和“私名”的分类</w:t>
      </w:r>
      <w:r>
        <w:rPr>
          <w:rStyle w:val="14"/>
          <w:rFonts w:hint="eastAsia" w:ascii="宋体" w:hAnsi="宋体" w:eastAsia="宋体" w:cs="宋体"/>
          <w:sz w:val="24"/>
          <w:szCs w:val="24"/>
          <w:lang w:eastAsia="zh-CN"/>
        </w:rPr>
        <w:footnoteReference w:id="22"/>
      </w:r>
      <w:r>
        <w:rPr>
          <w:rFonts w:hint="eastAsia" w:ascii="宋体" w:hAnsi="宋体" w:eastAsia="宋体" w:cs="宋体"/>
          <w:sz w:val="24"/>
          <w:szCs w:val="24"/>
          <w:lang w:eastAsia="zh-CN"/>
        </w:rPr>
        <w:t>基本上是一致的。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荀子认为辩说应当“辩异而不过，推类而不悖”（《荀子·</w:t>
      </w:r>
      <w:r>
        <w:rPr>
          <w:rFonts w:hint="eastAsia" w:ascii="宋体" w:hAnsi="宋体" w:eastAsia="宋体" w:cs="宋体"/>
          <w:sz w:val="24"/>
          <w:szCs w:val="24"/>
          <w:lang w:val="en-US" w:eastAsia="zh-CN"/>
        </w:rPr>
        <w:t>正名</w:t>
      </w:r>
      <w:r>
        <w:rPr>
          <w:rFonts w:hint="eastAsia" w:ascii="宋体" w:hAnsi="宋体" w:eastAsia="宋体" w:cs="宋体"/>
          <w:sz w:val="24"/>
          <w:szCs w:val="24"/>
          <w:lang w:eastAsia="zh-CN"/>
        </w:rPr>
        <w:t>》），是要求准确运用“名”和“辞”，根据类的关系进行推理不产生悖乱。</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推而共之”与“推而别之”联系起来就揭示了客观事物类属联系的逻辑特性，即“大别名—别名—共名—大共名”这一名的类包含关系链条。荀子基于对这种包含关系的明确认识，在逻辑上总结出了“推而共之”和“推而别之”即概括和限制这两种“制名”（明确概念）的方法。</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pacing w:line="360" w:lineRule="auto"/>
        <w:ind w:right="0" w:rightChars="0"/>
        <w:jc w:val="center"/>
        <w:textAlignment w:val="auto"/>
        <w:rPr>
          <w:rFonts w:hint="eastAsia" w:ascii="楷体" w:hAnsi="楷体" w:eastAsia="楷体" w:cs="楷体"/>
          <w:b/>
          <w:bCs/>
          <w:sz w:val="28"/>
          <w:szCs w:val="28"/>
        </w:rPr>
      </w:pPr>
      <w:r>
        <w:rPr>
          <w:rFonts w:hint="eastAsia" w:ascii="楷体" w:hAnsi="楷体" w:eastAsia="楷体" w:cs="楷体"/>
          <w:b/>
          <w:bCs/>
          <w:sz w:val="28"/>
          <w:szCs w:val="28"/>
        </w:rPr>
        <w:t>三、《墨辩》立辞“三物逻辑”中推类思想的形成</w:t>
      </w:r>
    </w:p>
    <w:p>
      <w:pPr>
        <w:keepNext w:val="0"/>
        <w:keepLines w:val="0"/>
        <w:pageBreakBefore w:val="0"/>
        <w:widowControl w:val="0"/>
        <w:kinsoku/>
        <w:wordWrap/>
        <w:overflowPunct/>
        <w:topLinePunct w:val="0"/>
        <w:autoSpaceDE/>
        <w:autoSpaceDN/>
        <w:bidi w:val="0"/>
        <w:adjustRightInd/>
        <w:spacing w:line="360" w:lineRule="auto"/>
        <w:ind w:right="0" w:rightChars="0" w:firstLine="420"/>
        <w:jc w:val="center"/>
        <w:textAlignment w:val="auto"/>
        <w:rPr>
          <w:rFonts w:hint="eastAsia" w:ascii="楷体" w:hAnsi="楷体" w:eastAsia="楷体" w:cs="楷体"/>
          <w:b/>
          <w:bCs/>
          <w:sz w:val="28"/>
          <w:szCs w:val="28"/>
        </w:rPr>
      </w:pPr>
      <w:r>
        <w:rPr>
          <w:rFonts w:hint="eastAsia" w:ascii="楷体" w:hAnsi="楷体" w:eastAsia="楷体" w:cs="楷体"/>
          <w:b/>
          <w:bCs/>
          <w:sz w:val="28"/>
          <w:szCs w:val="28"/>
        </w:rPr>
        <w:t>——推类逻辑思想的形成确立</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eastAsiaTheme="minor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lang w:eastAsia="zh-CN"/>
        </w:rPr>
        <w:t>《</w:t>
      </w:r>
      <w:r>
        <w:rPr>
          <w:rFonts w:hint="eastAsia" w:ascii="宋体" w:hAnsi="宋体" w:eastAsia="宋体" w:cs="宋体"/>
          <w:sz w:val="24"/>
          <w:szCs w:val="24"/>
          <w:lang w:eastAsia="zh-CN"/>
        </w:rPr>
        <w:t>墨辩》亦即《墨经》，是《墨子》书中《经上》、《经下》、《经说上》、《经说下》、《大取》和《小取》六篇的统称。</w:t>
      </w:r>
      <w:r>
        <w:rPr>
          <w:rStyle w:val="14"/>
          <w:rFonts w:hint="eastAsia" w:ascii="宋体" w:hAnsi="宋体" w:eastAsia="宋体" w:cs="宋体"/>
          <w:sz w:val="24"/>
          <w:szCs w:val="24"/>
          <w:lang w:eastAsia="zh-CN"/>
        </w:rPr>
        <w:footnoteReference w:id="23"/>
      </w:r>
      <w:r>
        <w:rPr>
          <w:rFonts w:hint="eastAsia" w:ascii="宋体" w:hAnsi="宋体" w:eastAsia="宋体" w:cs="宋体"/>
          <w:sz w:val="24"/>
          <w:szCs w:val="24"/>
          <w:lang w:eastAsia="zh-CN"/>
        </w:rPr>
        <w:t>一般认为，《墨辩》中的推类理论是后期墨家在系统地研究了先秦时期的推类实践之后所提出的。沈有鼎先生说：“中国古代逻辑思想的发展，到了《墨经》就如同登上高峰一样。《墨经》不仅在古代，就是现时，也还是逻辑学的宝库。”</w:t>
      </w:r>
      <w:r>
        <w:rPr>
          <w:rStyle w:val="14"/>
          <w:rFonts w:hint="eastAsia" w:ascii="宋体" w:hAnsi="宋体" w:eastAsia="宋体" w:cs="宋体"/>
          <w:sz w:val="24"/>
          <w:szCs w:val="24"/>
          <w:lang w:eastAsia="zh-CN"/>
        </w:rPr>
        <w:footnoteReference w:id="24"/>
      </w:r>
      <w:r>
        <w:rPr>
          <w:rFonts w:hint="eastAsia" w:ascii="宋体" w:hAnsi="宋体" w:eastAsia="宋体" w:cs="宋体"/>
          <w:sz w:val="24"/>
          <w:szCs w:val="24"/>
          <w:lang w:eastAsia="zh-CN"/>
        </w:rPr>
        <w:t>《墨辩》对于推类逻辑思想的形成具有不可替代的意义，《墨辩》对逻辑推理进行了系统研究，形成了比较全面的推类理论。</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夫辩者……焉摹略万物之然，论求群言之比。（《小取》）</w:t>
      </w:r>
      <w:r>
        <w:rPr>
          <w:rStyle w:val="14"/>
          <w:rFonts w:hint="eastAsia" w:ascii="楷体" w:hAnsi="楷体" w:eastAsia="楷体" w:cs="楷体"/>
          <w:sz w:val="24"/>
          <w:szCs w:val="24"/>
          <w:lang w:eastAsia="zh-CN"/>
        </w:rPr>
        <w:footnoteReference w:id="25"/>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有之实也，而后谓之；无之实也，则无谓也。（《经说下》）</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这是说，辩学是把客观存在的万物的本来面目抽象地反映出来，说明《墨辩》认为客观事物是可知的，人具有认识能力，且感性认识和理性认识是不同的。</w:t>
      </w:r>
      <w:r>
        <w:rPr>
          <w:rStyle w:val="14"/>
          <w:rFonts w:hint="eastAsia" w:ascii="宋体" w:hAnsi="宋体" w:eastAsia="宋体" w:cs="宋体"/>
          <w:sz w:val="24"/>
          <w:szCs w:val="24"/>
          <w:lang w:eastAsia="zh-CN"/>
        </w:rPr>
        <w:footnoteReference w:id="26"/>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墨子重视“察类”和“明故”，《墨辩》在此基础上，总结前人经验和方法，为了使自己的学说获得他人的赞同和支持，在论辩中取胜获得认可，就要讨论“立辞”（《大取》）即命题的成立。命题的成立，需要相应的理由和依据，因此，《墨辩》深入研究了“立辞”理论，形成了“故、理、类”三物。《大取》中有对“故、理、类”的较为集中而概括的说明：</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三物必具，然后辞足以生。</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夫辞以故生，以理长，以类行者也。立辞而不明于其所生，妄也。今人非道无所行，虽有强股肱而不明于道，其困也，可立而待也。夫辞以类行者也，立辞而不明于其类，则必困矣。</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这表明，《墨辩》认为，须故、理、类三物齐备，命题方可成立，立辞因得以完成。</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1、“类”的两种界说：①“有以同，类同也”，广义的类推；②“一法之相与也尽类”的严格的“类”定义。</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有效推类的关键，在于对“类”是什么（换言之，即如何方为同类，如何方为异类）这一问题的准确回答，为了达到对事物类的准确把握，墨家提出了对“类”</w:t>
      </w:r>
      <w:r>
        <w:rPr>
          <w:rFonts w:hint="eastAsia" w:ascii="宋体" w:hAnsi="宋体" w:eastAsia="宋体" w:cs="宋体"/>
          <w:sz w:val="24"/>
          <w:szCs w:val="24"/>
        </w:rPr>
        <w:t>的两种界说</w:t>
      </w:r>
      <w:r>
        <w:rPr>
          <w:rFonts w:hint="eastAsia" w:ascii="宋体" w:hAnsi="宋体" w:eastAsia="宋体" w:cs="宋体"/>
          <w:sz w:val="24"/>
          <w:szCs w:val="24"/>
          <w:lang w:eastAsia="zh-CN"/>
        </w:rPr>
        <w:t>。如何判定事物是同类还是异类，《墨辩》就事物间同异关系提出了“类”与“不类”的原则界说。《经说上》曰：“</w:t>
      </w:r>
      <w:r>
        <w:rPr>
          <w:rFonts w:hint="eastAsia" w:ascii="宋体" w:hAnsi="宋体" w:eastAsia="宋体" w:cs="宋体"/>
          <w:sz w:val="24"/>
          <w:szCs w:val="24"/>
        </w:rPr>
        <w:t>有以同，类同也</w:t>
      </w:r>
      <w:r>
        <w:rPr>
          <w:rFonts w:hint="eastAsia" w:ascii="宋体" w:hAnsi="宋体" w:eastAsia="宋体" w:cs="宋体"/>
          <w:sz w:val="24"/>
          <w:szCs w:val="24"/>
          <w:lang w:eastAsia="zh-CN"/>
        </w:rPr>
        <w:t>。”“不有同，不类也。”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同，重，体，合，类。（《经上》）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（同）二名一实，重同也。不外于兼，体同也。俱处于室，合同也。有以同，类同也。（《经说上》）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这是说，两个不同的名皆指一实是重同，如犬和狗。部分包含于总体是体同，如白马是马的一部分。处在同一个地方是合同，如桌椅处在一室之内。事物在某一种属性上有相同之处，如牛马在“四足兽”这一点上是相同的，就是类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异，二，不体，不合，不类。（《经上》）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（异）二必异，二也。不连属，不体也。不同所，不合也。不有同，不类也。（《经说上》）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不存在部分与总体之间的关系，就不是体同。不处于同一个地方，就不是合同。事物没有相似的属性，那么就是不同类。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《墨辩》规定了“类名”的含义，这一定义使得“类”作为抽象的逻辑范畴具有了确定的理论解释。</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rPr>
        <w:t>一法者之相与也，尽类，若方之相合也，说在方。</w:t>
      </w:r>
      <w:r>
        <w:rPr>
          <w:rFonts w:hint="eastAsia" w:ascii="楷体" w:hAnsi="楷体" w:eastAsia="楷体" w:cs="楷体"/>
          <w:sz w:val="24"/>
          <w:szCs w:val="24"/>
          <w:lang w:eastAsia="zh-CN"/>
        </w:rPr>
        <w:t>（《经下》）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（一）方尽类，俱有法而异。或木或石，不害其方之相合也，尽类。犹方也，物俱然。（《经说下》）</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这是说，法同一类尽相符合，就像方形相合于矩，这便是以方归类的道理。</w:t>
      </w:r>
      <w:r>
        <w:rPr>
          <w:rStyle w:val="14"/>
          <w:rFonts w:hint="eastAsia" w:ascii="宋体" w:hAnsi="宋体" w:eastAsia="宋体" w:cs="宋体"/>
          <w:sz w:val="24"/>
          <w:szCs w:val="24"/>
          <w:lang w:eastAsia="zh-CN"/>
        </w:rPr>
        <w:footnoteReference w:id="27"/>
      </w:r>
      <w:r>
        <w:rPr>
          <w:rFonts w:hint="eastAsia" w:ascii="宋体" w:hAnsi="宋体" w:eastAsia="宋体" w:cs="宋体"/>
          <w:sz w:val="24"/>
          <w:szCs w:val="24"/>
          <w:lang w:eastAsia="zh-CN"/>
        </w:rPr>
        <w:t>法，标准。相与，相同。凡符合标准（属性相同）的，就是同类。凡具有方的性质，就是方类。在方类中，事物各不相同，但不论是方木还是方石，都不妨害它符合方的标准，即都属于方的类。</w:t>
      </w:r>
      <w:r>
        <w:rPr>
          <w:rFonts w:hint="eastAsia" w:ascii="宋体" w:hAnsi="宋体" w:eastAsia="宋体" w:cs="宋体"/>
          <w:sz w:val="24"/>
          <w:szCs w:val="24"/>
        </w:rPr>
        <w:t>“一法之相与也尽类”</w:t>
      </w:r>
      <w:r>
        <w:rPr>
          <w:rFonts w:hint="eastAsia" w:ascii="宋体" w:hAnsi="宋体" w:eastAsia="宋体" w:cs="宋体"/>
          <w:sz w:val="24"/>
          <w:szCs w:val="24"/>
          <w:lang w:eastAsia="zh-CN"/>
        </w:rPr>
        <w:t>对</w:t>
      </w:r>
      <w:r>
        <w:rPr>
          <w:rFonts w:hint="eastAsia" w:ascii="宋体" w:hAnsi="宋体" w:eastAsia="宋体" w:cs="宋体"/>
          <w:sz w:val="24"/>
          <w:szCs w:val="24"/>
        </w:rPr>
        <w:t>“类”</w:t>
      </w:r>
      <w:r>
        <w:rPr>
          <w:rFonts w:hint="eastAsia" w:ascii="宋体" w:hAnsi="宋体" w:eastAsia="宋体" w:cs="宋体"/>
          <w:sz w:val="24"/>
          <w:szCs w:val="24"/>
          <w:lang w:eastAsia="zh-CN"/>
        </w:rPr>
        <w:t>的</w:t>
      </w:r>
      <w:r>
        <w:rPr>
          <w:rFonts w:hint="eastAsia" w:ascii="宋体" w:hAnsi="宋体" w:eastAsia="宋体" w:cs="宋体"/>
          <w:sz w:val="24"/>
          <w:szCs w:val="24"/>
        </w:rPr>
        <w:t>定义</w:t>
      </w:r>
      <w:r>
        <w:rPr>
          <w:rFonts w:hint="eastAsia" w:ascii="宋体" w:hAnsi="宋体" w:eastAsia="宋体" w:cs="宋体"/>
          <w:sz w:val="24"/>
          <w:szCs w:val="24"/>
          <w:lang w:eastAsia="zh-CN"/>
        </w:rPr>
        <w:t>更为严格，超越了相同的实、相同的处所等等事物就其一点的相似，而更加强调“法（理）”同，即性质的相同。</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numId w:val="0"/>
        </w:numPr>
        <w:kinsoku/>
        <w:wordWrap/>
        <w:overflowPunct/>
        <w:topLinePunct w:val="0"/>
        <w:autoSpaceDE/>
        <w:autoSpaceDN/>
        <w:bidi w:val="0"/>
        <w:adjustRightInd/>
        <w:spacing w:line="360" w:lineRule="auto"/>
        <w:ind w:right="0" w:rightChars="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论辩中的类推方法：以类取、以类予，或假效辟侔援推等论式中的类推分析。</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《小取》是墨辩逻辑体系的一个大纲</w:t>
      </w:r>
      <w:r>
        <w:rPr>
          <w:rStyle w:val="14"/>
          <w:rFonts w:hint="eastAsia" w:ascii="宋体" w:hAnsi="宋体" w:eastAsia="宋体" w:cs="宋体"/>
          <w:sz w:val="24"/>
          <w:szCs w:val="24"/>
          <w:lang w:eastAsia="zh-CN"/>
        </w:rPr>
        <w:footnoteReference w:id="28"/>
      </w:r>
      <w:r>
        <w:rPr>
          <w:rFonts w:hint="eastAsia" w:ascii="宋体" w:hAnsi="宋体" w:eastAsia="宋体" w:cs="宋体"/>
          <w:sz w:val="24"/>
          <w:szCs w:val="24"/>
          <w:lang w:eastAsia="zh-CN"/>
        </w:rPr>
        <w:t>，其中有对辩学的比较全面的说明：</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夫辩者，将以明是非之分，审治乱之纪，明同异之处，察名实之理，处利害，决嫌疑。焉摹略万物之然，论求群言之比。以名举实，以辞抒意，以说出故。以类取，以类予。有诸己不非诸人，无诸己不求诸人。</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以类取，以类予。”《说文解字》有“予，相推予也。”“以类取”，是依照类去选取支持的理由和依据，即由个别推至一般，由一类中的部分或全部个体具有某种属性，得出该类的普遍属性，这是一种分辨和归纳思维方法。“以类予”是依照类去推出结论或是证明命题，即从两对象同属于一类，由其中一方具有该类的本质属性，推出另一方也必然具有这种属性，既包括了由大类推至小类的演绎，也包括了大类中不同小类之间的类比。取和予的方向是相反的，“以类取，以类予”是两种方向不同的思维方法，也是《墨辩》对</w:t>
      </w:r>
      <w:r>
        <w:rPr>
          <w:rFonts w:hint="eastAsia" w:ascii="宋体" w:hAnsi="宋体" w:eastAsia="宋体" w:cs="宋体"/>
          <w:sz w:val="24"/>
          <w:szCs w:val="24"/>
        </w:rPr>
        <w:t>或</w:t>
      </w:r>
      <w:r>
        <w:rPr>
          <w:rFonts w:hint="eastAsia" w:ascii="宋体" w:hAnsi="宋体" w:eastAsia="宋体" w:cs="宋体"/>
          <w:sz w:val="24"/>
          <w:szCs w:val="24"/>
          <w:lang w:eastAsia="zh-CN"/>
        </w:rPr>
        <w:t>、</w:t>
      </w:r>
      <w:r>
        <w:rPr>
          <w:rFonts w:hint="eastAsia" w:ascii="宋体" w:hAnsi="宋体" w:eastAsia="宋体" w:cs="宋体"/>
          <w:sz w:val="24"/>
          <w:szCs w:val="24"/>
        </w:rPr>
        <w:t>假</w:t>
      </w:r>
      <w:r>
        <w:rPr>
          <w:rFonts w:hint="eastAsia" w:ascii="宋体" w:hAnsi="宋体" w:eastAsia="宋体" w:cs="宋体"/>
          <w:sz w:val="24"/>
          <w:szCs w:val="24"/>
          <w:lang w:eastAsia="zh-CN"/>
        </w:rPr>
        <w:t>、</w:t>
      </w:r>
      <w:r>
        <w:rPr>
          <w:rFonts w:hint="eastAsia" w:ascii="宋体" w:hAnsi="宋体" w:eastAsia="宋体" w:cs="宋体"/>
          <w:sz w:val="24"/>
          <w:szCs w:val="24"/>
        </w:rPr>
        <w:t>效</w:t>
      </w:r>
      <w:r>
        <w:rPr>
          <w:rFonts w:hint="eastAsia" w:ascii="宋体" w:hAnsi="宋体" w:eastAsia="宋体" w:cs="宋体"/>
          <w:sz w:val="24"/>
          <w:szCs w:val="24"/>
          <w:lang w:eastAsia="zh-CN"/>
        </w:rPr>
        <w:t>、</w:t>
      </w:r>
      <w:r>
        <w:rPr>
          <w:rFonts w:hint="eastAsia" w:ascii="宋体" w:hAnsi="宋体" w:eastAsia="宋体" w:cs="宋体"/>
          <w:sz w:val="24"/>
          <w:szCs w:val="24"/>
        </w:rPr>
        <w:t>辟</w:t>
      </w:r>
      <w:r>
        <w:rPr>
          <w:rFonts w:hint="eastAsia" w:ascii="宋体" w:hAnsi="宋体" w:eastAsia="宋体" w:cs="宋体"/>
          <w:sz w:val="24"/>
          <w:szCs w:val="24"/>
          <w:lang w:eastAsia="zh-CN"/>
        </w:rPr>
        <w:t>、</w:t>
      </w:r>
      <w:r>
        <w:rPr>
          <w:rFonts w:hint="eastAsia" w:ascii="宋体" w:hAnsi="宋体" w:eastAsia="宋体" w:cs="宋体"/>
          <w:sz w:val="24"/>
          <w:szCs w:val="24"/>
        </w:rPr>
        <w:t>侔</w:t>
      </w:r>
      <w:r>
        <w:rPr>
          <w:rFonts w:hint="eastAsia" w:ascii="宋体" w:hAnsi="宋体" w:eastAsia="宋体" w:cs="宋体"/>
          <w:sz w:val="24"/>
          <w:szCs w:val="24"/>
          <w:lang w:eastAsia="zh-CN"/>
        </w:rPr>
        <w:t>、</w:t>
      </w:r>
      <w:r>
        <w:rPr>
          <w:rFonts w:hint="eastAsia" w:ascii="宋体" w:hAnsi="宋体" w:eastAsia="宋体" w:cs="宋体"/>
          <w:sz w:val="24"/>
          <w:szCs w:val="24"/>
        </w:rPr>
        <w:t>援</w:t>
      </w:r>
      <w:r>
        <w:rPr>
          <w:rFonts w:hint="eastAsia" w:ascii="宋体" w:hAnsi="宋体" w:eastAsia="宋体" w:cs="宋体"/>
          <w:sz w:val="24"/>
          <w:szCs w:val="24"/>
          <w:lang w:eastAsia="zh-CN"/>
        </w:rPr>
        <w:t>、</w:t>
      </w:r>
      <w:r>
        <w:rPr>
          <w:rFonts w:hint="eastAsia" w:ascii="宋体" w:hAnsi="宋体" w:eastAsia="宋体" w:cs="宋体"/>
          <w:sz w:val="24"/>
          <w:szCs w:val="24"/>
        </w:rPr>
        <w:t>推</w:t>
      </w:r>
      <w:r>
        <w:rPr>
          <w:rFonts w:hint="eastAsia" w:ascii="宋体" w:hAnsi="宋体" w:eastAsia="宋体" w:cs="宋体"/>
          <w:sz w:val="24"/>
          <w:szCs w:val="24"/>
          <w:lang w:eastAsia="zh-CN"/>
        </w:rPr>
        <w:t>、止等具体论式的概括。</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宋体" w:hAnsi="宋体" w:eastAsia="宋体" w:cs="宋体"/>
          <w:sz w:val="24"/>
          <w:szCs w:val="24"/>
          <w:highlight w:val="none"/>
        </w:rPr>
      </w:pPr>
      <w:r>
        <w:rPr>
          <w:rFonts w:hint="eastAsia" w:ascii="楷体" w:hAnsi="楷体" w:eastAsia="楷体" w:cs="楷体"/>
          <w:sz w:val="24"/>
          <w:szCs w:val="24"/>
          <w:highlight w:val="none"/>
        </w:rPr>
        <w:t>或也者，不尽也。假者，今不然也。效者，为之法也，所效者，所以为之法也。故中效，则是也；不中效，则非也。此效也。辟也者，举</w:t>
      </w:r>
      <w:r>
        <w:rPr>
          <w:rFonts w:hint="eastAsia" w:ascii="楷体" w:hAnsi="楷体" w:eastAsia="楷体" w:cs="楷体"/>
          <w:sz w:val="24"/>
          <w:szCs w:val="24"/>
          <w:highlight w:val="none"/>
          <w:lang w:eastAsia="zh-CN"/>
        </w:rPr>
        <w:t>他</w:t>
      </w:r>
      <w:r>
        <w:rPr>
          <w:rFonts w:hint="eastAsia" w:ascii="楷体" w:hAnsi="楷体" w:eastAsia="楷体" w:cs="楷体"/>
          <w:sz w:val="24"/>
          <w:szCs w:val="24"/>
          <w:highlight w:val="none"/>
        </w:rPr>
        <w:t>物而以明之也。侔也者，比辞而俱行也。援也者，曰：“子然，我奚独不可以然也？”推也者，以其所不取之同于其所取者，予之也。“是犹谓”也者，同也。“吾岂谓”也者，异也。</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《小取》</w:t>
      </w:r>
      <w:r>
        <w:rPr>
          <w:rFonts w:hint="eastAsia" w:ascii="楷体" w:hAnsi="楷体" w:eastAsia="楷体" w:cs="楷体"/>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sz w:val="24"/>
          <w:szCs w:val="24"/>
        </w:rPr>
      </w:pP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ascii="宋体" w:hAnsi="宋体" w:eastAsia="宋体" w:cs="宋体"/>
          <w:sz w:val="24"/>
          <w:szCs w:val="24"/>
          <w:lang w:eastAsia="zh-CN"/>
        </w:rPr>
      </w:pPr>
      <w:r>
        <w:rPr>
          <w:rFonts w:hint="eastAsia"/>
          <w:sz w:val="24"/>
          <w:szCs w:val="24"/>
          <w:lang w:eastAsia="zh-CN"/>
        </w:rPr>
        <w:t>这是概括了“辩”的思维形式：</w:t>
      </w:r>
      <w:r>
        <w:rPr>
          <w:rFonts w:hint="eastAsia" w:ascii="宋体" w:hAnsi="宋体" w:eastAsia="宋体" w:cs="宋体"/>
          <w:sz w:val="24"/>
          <w:szCs w:val="24"/>
        </w:rPr>
        <w:t>或</w:t>
      </w:r>
      <w:r>
        <w:rPr>
          <w:rFonts w:hint="eastAsia" w:ascii="宋体" w:hAnsi="宋体" w:eastAsia="宋体" w:cs="宋体"/>
          <w:sz w:val="24"/>
          <w:szCs w:val="24"/>
          <w:lang w:eastAsia="zh-CN"/>
        </w:rPr>
        <w:t>、</w:t>
      </w:r>
      <w:r>
        <w:rPr>
          <w:rFonts w:hint="eastAsia" w:ascii="宋体" w:hAnsi="宋体" w:eastAsia="宋体" w:cs="宋体"/>
          <w:sz w:val="24"/>
          <w:szCs w:val="24"/>
        </w:rPr>
        <w:t>假</w:t>
      </w:r>
      <w:r>
        <w:rPr>
          <w:rFonts w:hint="eastAsia" w:ascii="宋体" w:hAnsi="宋体" w:eastAsia="宋体" w:cs="宋体"/>
          <w:sz w:val="24"/>
          <w:szCs w:val="24"/>
          <w:lang w:eastAsia="zh-CN"/>
        </w:rPr>
        <w:t>、</w:t>
      </w:r>
      <w:r>
        <w:rPr>
          <w:rFonts w:hint="eastAsia" w:ascii="宋体" w:hAnsi="宋体" w:eastAsia="宋体" w:cs="宋体"/>
          <w:sz w:val="24"/>
          <w:szCs w:val="24"/>
        </w:rPr>
        <w:t>效</w:t>
      </w:r>
      <w:r>
        <w:rPr>
          <w:rFonts w:hint="eastAsia" w:ascii="宋体" w:hAnsi="宋体" w:eastAsia="宋体" w:cs="宋体"/>
          <w:sz w:val="24"/>
          <w:szCs w:val="24"/>
          <w:lang w:eastAsia="zh-CN"/>
        </w:rPr>
        <w:t>、</w:t>
      </w:r>
      <w:r>
        <w:rPr>
          <w:rFonts w:hint="eastAsia" w:ascii="宋体" w:hAnsi="宋体" w:eastAsia="宋体" w:cs="宋体"/>
          <w:sz w:val="24"/>
          <w:szCs w:val="24"/>
        </w:rPr>
        <w:t>辟</w:t>
      </w:r>
      <w:r>
        <w:rPr>
          <w:rFonts w:hint="eastAsia" w:ascii="宋体" w:hAnsi="宋体" w:eastAsia="宋体" w:cs="宋体"/>
          <w:sz w:val="24"/>
          <w:szCs w:val="24"/>
          <w:lang w:eastAsia="zh-CN"/>
        </w:rPr>
        <w:t>、</w:t>
      </w:r>
      <w:r>
        <w:rPr>
          <w:rFonts w:hint="eastAsia" w:ascii="宋体" w:hAnsi="宋体" w:eastAsia="宋体" w:cs="宋体"/>
          <w:sz w:val="24"/>
          <w:szCs w:val="24"/>
        </w:rPr>
        <w:t>侔</w:t>
      </w:r>
      <w:r>
        <w:rPr>
          <w:rFonts w:hint="eastAsia" w:ascii="宋体" w:hAnsi="宋体" w:eastAsia="宋体" w:cs="宋体"/>
          <w:sz w:val="24"/>
          <w:szCs w:val="24"/>
          <w:lang w:eastAsia="zh-CN"/>
        </w:rPr>
        <w:t>、</w:t>
      </w:r>
      <w:r>
        <w:rPr>
          <w:rFonts w:hint="eastAsia" w:ascii="宋体" w:hAnsi="宋体" w:eastAsia="宋体" w:cs="宋体"/>
          <w:sz w:val="24"/>
          <w:szCs w:val="24"/>
        </w:rPr>
        <w:t>援</w:t>
      </w:r>
      <w:r>
        <w:rPr>
          <w:rFonts w:hint="eastAsia" w:ascii="宋体" w:hAnsi="宋体" w:eastAsia="宋体" w:cs="宋体"/>
          <w:sz w:val="24"/>
          <w:szCs w:val="24"/>
          <w:lang w:eastAsia="zh-CN"/>
        </w:rPr>
        <w:t>、</w:t>
      </w:r>
      <w:r>
        <w:rPr>
          <w:rFonts w:hint="eastAsia" w:ascii="宋体" w:hAnsi="宋体" w:eastAsia="宋体" w:cs="宋体"/>
          <w:sz w:val="24"/>
          <w:szCs w:val="24"/>
        </w:rPr>
        <w:t>推</w:t>
      </w:r>
      <w:r>
        <w:rPr>
          <w:rFonts w:hint="eastAsia" w:ascii="宋体" w:hAnsi="宋体" w:eastAsia="宋体" w:cs="宋体"/>
          <w:sz w:val="24"/>
          <w:szCs w:val="24"/>
          <w:lang w:eastAsia="zh-CN"/>
        </w:rPr>
        <w:t>。“或”，是并不都如此。“假”，是现在不如此。“效”，是为事物立标准，并以之评判是非。符合标准的，就是对的；不符合标准的，就是错的。这就是“效”。“辟”，是举别的事物来说明这一事物。“侔”，是两个词义相同的命题可以由此及彼。“援”，是说“你正确，我为什么不可以正确呢？”“推”，是用对方所不赞同的命题，论证它相同于对方所赞同的命题，以此来反驳对方的论点。</w:t>
      </w:r>
      <w:r>
        <w:rPr>
          <w:rStyle w:val="14"/>
          <w:rFonts w:hint="eastAsia" w:ascii="宋体" w:hAnsi="宋体" w:eastAsia="宋体" w:cs="宋体"/>
          <w:sz w:val="24"/>
          <w:szCs w:val="24"/>
          <w:lang w:eastAsia="zh-CN"/>
        </w:rPr>
        <w:footnoteReference w:id="29"/>
      </w:r>
      <w:r>
        <w:rPr>
          <w:rFonts w:hint="eastAsia" w:ascii="宋体" w:hAnsi="宋体" w:eastAsia="宋体" w:cs="宋体"/>
          <w:sz w:val="24"/>
          <w:szCs w:val="24"/>
          <w:lang w:eastAsia="zh-CN"/>
        </w:rPr>
        <w:t>下面举例说明一下墨辩的论式。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或。“或也者，不尽也。”“尽”指全称肯定判断</w:t>
      </w:r>
      <w:r>
        <w:rPr>
          <w:rStyle w:val="14"/>
          <w:rFonts w:hint="eastAsia" w:ascii="宋体" w:hAnsi="宋体" w:eastAsia="宋体" w:cs="宋体"/>
          <w:sz w:val="24"/>
          <w:szCs w:val="24"/>
          <w:lang w:eastAsia="zh-CN"/>
        </w:rPr>
        <w:footnoteReference w:id="30"/>
      </w:r>
      <w:r>
        <w:rPr>
          <w:rFonts w:hint="eastAsia" w:ascii="宋体" w:hAnsi="宋体" w:eastAsia="宋体" w:cs="宋体"/>
          <w:sz w:val="24"/>
          <w:szCs w:val="24"/>
          <w:lang w:eastAsia="zh-CN"/>
        </w:rPr>
        <w:t>，“或”是并不都如此，《墨辩》以之为表达特称判断与选言判断的形式。如“彼，或谓之牛，或谓之非牛”（《经说上》），就是一个选言判断，它具有选言判断“</w:t>
      </w:r>
      <w:r>
        <w:rPr>
          <w:rFonts w:hint="eastAsia" w:ascii="宋体" w:hAnsi="宋体" w:eastAsia="宋体" w:cs="宋体"/>
          <w:sz w:val="24"/>
          <w:szCs w:val="24"/>
          <w:lang w:val="en-US" w:eastAsia="zh-CN"/>
        </w:rPr>
        <w:t>p∨q</w:t>
      </w:r>
      <w:r>
        <w:rPr>
          <w:rFonts w:hint="eastAsia" w:ascii="宋体" w:hAnsi="宋体" w:eastAsia="宋体" w:cs="宋体"/>
          <w:sz w:val="24"/>
          <w:szCs w:val="24"/>
          <w:lang w:eastAsia="zh-CN"/>
        </w:rPr>
        <w:t>”的典型形式。“偏也者，兼之体也。其体或去或存，谓其存者损。”（《经说上》）“或”在《小取》中，是针对选言判断各选言支之间所具有的选择关系逻辑性质的论式，在墨家辩学中概括了选言判断所特有的一般形式，具有普遍意义，而不是指某一个特定的选言判断。“或”本身指的是选言判断，但以选言判断为前提可以构成选言推理，因此，“或”在《墨辩》中也表示选言推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假。“假者，今不然也。”假，现在还不如此，即假设，逻辑上指假言判断。在《墨辩》中还表示由假言判断做前提构成的假言推理。假言推理的前提中，假言判断后件所代表的事物情况不一定是当前事实，它的成立是以前件的存在与否为前提的。墨辩还对有关条件与结果之间的多样关系进行了分析。“故，所得而后成也。”（《经上》）“小故：有之不必然，无之必不然。体也，若尺有端。大故：有之必然，无之必无然，若见之成见也。”（《经说上》）</w:t>
      </w:r>
      <w:r>
        <w:rPr>
          <w:rStyle w:val="14"/>
          <w:rFonts w:hint="eastAsia" w:ascii="宋体" w:hAnsi="宋体" w:eastAsia="宋体" w:cs="宋体"/>
          <w:sz w:val="24"/>
          <w:szCs w:val="24"/>
          <w:lang w:eastAsia="zh-CN"/>
        </w:rPr>
        <w:footnoteReference w:id="31"/>
      </w:r>
      <w:r>
        <w:rPr>
          <w:rFonts w:hint="eastAsia" w:ascii="宋体" w:hAnsi="宋体" w:eastAsia="宋体" w:cs="宋体"/>
          <w:sz w:val="24"/>
          <w:szCs w:val="24"/>
          <w:lang w:eastAsia="zh-CN"/>
        </w:rPr>
        <w:t>这是说，“故”是产生结果的条件或原因。“小故”存在，不必定造就某结果，相当于假言判断的必要条件；“大故”存在，必定造就某结果，相当于假言判断的充分必要条件。《墨辩》中提及的假言判断有“</w:t>
      </w:r>
      <w:r>
        <w:rPr>
          <w:rFonts w:hint="eastAsia" w:ascii="宋体" w:hAnsi="宋体" w:eastAsia="宋体" w:cs="宋体"/>
          <w:sz w:val="24"/>
          <w:szCs w:val="24"/>
        </w:rPr>
        <w:t>贞</w:t>
      </w:r>
      <w:r>
        <w:rPr>
          <w:rFonts w:hint="eastAsia" w:ascii="宋体" w:hAnsi="宋体" w:eastAsia="宋体" w:cs="宋体"/>
          <w:sz w:val="24"/>
          <w:szCs w:val="24"/>
          <w:lang w:eastAsia="zh-CN"/>
        </w:rPr>
        <w:t>（负）</w:t>
      </w:r>
      <w:r>
        <w:rPr>
          <w:rFonts w:hint="eastAsia" w:ascii="宋体" w:hAnsi="宋体" w:eastAsia="宋体" w:cs="宋体"/>
          <w:sz w:val="24"/>
          <w:szCs w:val="24"/>
        </w:rPr>
        <w:t>而不挠，说在胜</w:t>
      </w:r>
      <w:r>
        <w:rPr>
          <w:rFonts w:hint="eastAsia" w:ascii="宋体" w:hAnsi="宋体" w:eastAsia="宋体" w:cs="宋体"/>
          <w:sz w:val="24"/>
          <w:szCs w:val="24"/>
          <w:lang w:eastAsia="zh-CN"/>
        </w:rPr>
        <w:t>”（《经下》）当且仅当可负载的力大于作用力时，负荷物不会弯曲，它具有“</w:t>
      </w:r>
      <w:r>
        <w:rPr>
          <w:rFonts w:hint="eastAsia" w:ascii="宋体" w:hAnsi="宋体" w:eastAsia="宋体" w:cs="宋体"/>
          <w:sz w:val="24"/>
          <w:szCs w:val="24"/>
          <w:lang w:val="en-US" w:eastAsia="zh-CN"/>
        </w:rPr>
        <w:t>p←→q</w:t>
      </w:r>
      <w:r>
        <w:rPr>
          <w:rFonts w:hint="eastAsia" w:ascii="宋体" w:hAnsi="宋体" w:eastAsia="宋体" w:cs="宋体"/>
          <w:sz w:val="24"/>
          <w:szCs w:val="24"/>
          <w:lang w:eastAsia="zh-CN"/>
        </w:rPr>
        <w:t>”的形式，属于充分必要条件的假言判断。“得是而喜，则是利也。其害也，非是也。”（《经说上》）说明“得是而喜”是“利”的充分必要条件。“知狗而自谓不知犬，过也。说在重。”（《经下》）知道狗却自称不知道犬，就是犯了“重同（二名一实）”的错误。这是充分条件假言判断，具有“</w:t>
      </w:r>
      <w:r>
        <w:rPr>
          <w:rFonts w:hint="eastAsia" w:ascii="宋体" w:hAnsi="宋体" w:eastAsia="宋体" w:cs="宋体"/>
          <w:sz w:val="24"/>
          <w:szCs w:val="24"/>
          <w:lang w:val="en-US" w:eastAsia="zh-CN"/>
        </w:rPr>
        <w:t>p→q</w:t>
      </w:r>
      <w:r>
        <w:rPr>
          <w:rFonts w:hint="eastAsia" w:ascii="宋体" w:hAnsi="宋体" w:eastAsia="宋体" w:cs="宋体"/>
          <w:sz w:val="24"/>
          <w:szCs w:val="24"/>
          <w:lang w:eastAsia="zh-CN"/>
        </w:rPr>
        <w:t>”的形式。“诽之可否，不以众寡，说在可非。”（《经下》）只有“可非”，才能进行“诽”，表达了必要条件假言判断，具有“</w:t>
      </w:r>
      <w:r>
        <w:rPr>
          <w:rFonts w:hint="eastAsia" w:ascii="宋体" w:hAnsi="宋体" w:eastAsia="宋体" w:cs="宋体"/>
          <w:sz w:val="24"/>
          <w:szCs w:val="24"/>
          <w:lang w:val="en-US" w:eastAsia="zh-CN"/>
        </w:rPr>
        <w:t>p←q</w:t>
      </w:r>
      <w:r>
        <w:rPr>
          <w:rFonts w:hint="eastAsia" w:ascii="宋体" w:hAnsi="宋体" w:eastAsia="宋体" w:cs="宋体"/>
          <w:sz w:val="24"/>
          <w:szCs w:val="24"/>
          <w:lang w:eastAsia="zh-CN"/>
        </w:rPr>
        <w:t>”的形式。又如“虑也者，以其知有求也，而不必得之。”（《经说上》）这是说，“虑”是获得知识的必要条件。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效。“</w:t>
      </w:r>
      <w:r>
        <w:rPr>
          <w:rFonts w:hint="eastAsia" w:ascii="宋体" w:hAnsi="宋体" w:eastAsia="宋体" w:cs="宋体"/>
          <w:sz w:val="24"/>
          <w:szCs w:val="24"/>
          <w:highlight w:val="none"/>
        </w:rPr>
        <w:t>效者，为之法也，所效者，所以为之法也。故中效，则是也；不中效，则非也。此效也。</w:t>
      </w:r>
      <w:r>
        <w:rPr>
          <w:rFonts w:hint="eastAsia" w:ascii="宋体" w:hAnsi="宋体" w:eastAsia="宋体" w:cs="宋体"/>
          <w:sz w:val="24"/>
          <w:szCs w:val="24"/>
          <w:highlight w:val="none"/>
          <w:lang w:eastAsia="zh-CN"/>
        </w:rPr>
        <w:t>”即效就是提供一个推理模式和标准</w:t>
      </w:r>
      <w:r>
        <w:rPr>
          <w:rStyle w:val="14"/>
          <w:rFonts w:hint="eastAsia" w:ascii="宋体" w:hAnsi="宋体" w:eastAsia="宋体" w:cs="宋体"/>
          <w:sz w:val="24"/>
          <w:szCs w:val="24"/>
          <w:highlight w:val="none"/>
          <w:lang w:eastAsia="zh-CN"/>
        </w:rPr>
        <w:footnoteReference w:id="32"/>
      </w:r>
      <w:r>
        <w:rPr>
          <w:rFonts w:hint="eastAsia" w:ascii="宋体" w:hAnsi="宋体" w:eastAsia="宋体" w:cs="宋体"/>
          <w:sz w:val="24"/>
          <w:szCs w:val="24"/>
          <w:highlight w:val="none"/>
          <w:lang w:eastAsia="zh-CN"/>
        </w:rPr>
        <w:t>，以这个标准为依据，符合标准的就是该标准所指的一类事物，不符合标准的就不是所指的一类事物。如“子墨子言曰，我有天志，譬若轮人之有规，匠人之有矩。轮匠执其规矩，以度天下之方圆，曰中者是也，不中者非也。”（《墨子·天志上》）凡符合轮人“规”之标准的就是圆类，不符合的就不是；凡符合匠人“矩”之标准的就是方类，不符合就不是。这种论式进行的依据，是凡同类者都具有某种相同的内在属性的逆运用，运用分辨思维，以固定的标准去区分类别。</w:t>
      </w:r>
      <w:r>
        <w:rPr>
          <w:rFonts w:hint="eastAsia" w:ascii="宋体" w:hAnsi="宋体" w:eastAsia="宋体" w:cs="宋体"/>
          <w:sz w:val="24"/>
          <w:szCs w:val="24"/>
          <w:highlight w:val="none"/>
          <w:lang w:val="en-US" w:eastAsia="zh-CN"/>
        </w:rPr>
        <w:t>沈有鼎先生指出：“‘效’这一论证方式就意味着演绎推论。”</w:t>
      </w:r>
      <w:r>
        <w:rPr>
          <w:rStyle w:val="14"/>
          <w:rFonts w:hint="eastAsia" w:ascii="宋体" w:hAnsi="宋体" w:eastAsia="宋体" w:cs="宋体"/>
          <w:sz w:val="24"/>
          <w:szCs w:val="24"/>
          <w:highlight w:val="none"/>
          <w:lang w:val="en-US" w:eastAsia="zh-CN"/>
        </w:rPr>
        <w:footnoteReference w:id="33"/>
      </w:r>
      <w:r>
        <w:rPr>
          <w:rFonts w:hint="eastAsia" w:ascii="宋体" w:hAnsi="宋体" w:eastAsia="宋体" w:cs="宋体"/>
          <w:sz w:val="24"/>
          <w:szCs w:val="24"/>
          <w:highlight w:val="none"/>
          <w:lang w:val="en-US" w:eastAsia="zh-CN"/>
        </w:rPr>
        <w:t>为何称之为“演绎推论”呢？因为“效”已经具备了三段论公理所描述的基本原理。亚里士多德三段论公理的具体内容是：对一类事物的全部有所断定，那么对该类中任一事物也必定有所断定。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highlight w:val="none"/>
          <w:lang w:eastAsia="zh-CN"/>
        </w:rPr>
      </w:pPr>
      <w:r>
        <w:rPr>
          <w:sz w:val="21"/>
        </w:rPr>
        <w:pict>
          <v:shape id="_x0000_s1029" o:spid="_x0000_s1029" o:spt="3" type="#_x0000_t3" style="position:absolute;left:0pt;margin-left:37.75pt;margin-top:20.75pt;height:89.15pt;width:92.6pt;z-index:251658240;mso-width-relative:page;mso-height-relative:page;" fillcolor="#FFFFFF" filled="t" stroked="t" coordsize="21600,21600">
            <v:path/>
            <v:fill on="t" color2="#FFFFFF" focussize="0,0"/>
            <v:stroke color="#000000"/>
            <v:imagedata o:title=""/>
            <o:lock v:ext="edit" aspectratio="f"/>
          </v:shape>
        </w:pi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highlight w:val="none"/>
          <w:lang w:eastAsia="zh-CN"/>
        </w:rPr>
      </w:pPr>
      <w:r>
        <w:rPr>
          <w:sz w:val="21"/>
        </w:rPr>
        <w:pict>
          <v:shape id="_x0000_s1040" o:spid="_x0000_s1040" o:spt="3" type="#_x0000_t3" style="position:absolute;left:0pt;margin-left:232.5pt;margin-top:15.8pt;height:60.85pt;width:65.7pt;z-index:251664384;mso-width-relative:page;mso-height-relative:page;" fillcolor="#FFFFFF" filled="t" stroked="t" coordsize="21600,21600">
            <v:path/>
            <v:fill on="t" focussize="0,0"/>
            <v:stroke color="#000000"/>
            <v:imagedata o:title=""/>
            <o:lock v:ext="edit" aspectratio="f"/>
          </v:shape>
        </w:pict>
      </w:r>
      <w:r>
        <w:rPr>
          <w:sz w:val="21"/>
        </w:rPr>
        <w:pict>
          <v:shape id="_x0000_s1041" o:spid="_x0000_s1041" o:spt="3" type="#_x0000_t3" style="position:absolute;left:0pt;margin-left:305.6pt;margin-top:14.8pt;height:60.85pt;width:61.75pt;z-index:251665408;mso-width-relative:page;mso-height-relative:page;" fillcolor="#FFFFFF" filled="t" stroked="t" coordsize="21600,21600">
            <v:path/>
            <v:fill on="t" focussize="0,0"/>
            <v:stroke color="#000000"/>
            <v:imagedata o:title=""/>
            <o:lock v:ext="edit" aspectratio="f"/>
          </v:shape>
        </w:pict>
      </w:r>
      <w:r>
        <w:rPr>
          <w:sz w:val="21"/>
        </w:rPr>
        <w:pict>
          <v:shape id="_x0000_s1032" o:spid="_x0000_s1032" o:spt="3" type="#_x0000_t3" style="position:absolute;left:0pt;margin-left:65.15pt;margin-top:11pt;height:63.7pt;width:64.35pt;z-index:251659264;mso-width-relative:page;mso-height-relative:page;" filled="f" stroked="t" coordsize="21600,21600">
            <v:path/>
            <v:fill on="f" focussize="0,0"/>
            <v:stroke color="#000000"/>
            <v:imagedata o:title=""/>
            <o:lock v:ext="edit" aspectratio="f"/>
          </v:shape>
        </w:pic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highlight w:val="none"/>
          <w:lang w:eastAsia="zh-CN"/>
        </w:rPr>
      </w:pPr>
      <w:r>
        <w:rPr>
          <w:sz w:val="21"/>
        </w:rPr>
        <w:pict>
          <v:shape id="_x0000_s1033" o:spid="_x0000_s1033" o:spt="3" type="#_x0000_t3" style="position:absolute;left:0pt;margin-left:100.45pt;margin-top:6.95pt;height:28.15pt;width:29.6pt;z-index:251660288;mso-width-relative:page;mso-height-relative:page;" fillcolor="#FFFFFF" filled="t" stroked="t" coordsize="21600,21600">
            <v:path/>
            <v:fill on="t" color2="#FFFFFF" opacity="0f" focussize="0,0"/>
            <v:stroke color="#000000"/>
            <v:imagedata o:title=""/>
            <o:lock v:ext="edit" aspectratio="f"/>
          </v:shape>
        </w:pict>
      </w:r>
      <w:r>
        <w:rPr>
          <w:sz w:val="21"/>
        </w:rPr>
        <w:pict>
          <v:shape id="_x0000_s1046" o:spid="_x0000_s1046" o:spt="202" type="#_x0000_t202" style="position:absolute;left:0pt;margin-left:324.85pt;margin-top:9.8pt;height:23.15pt;width:24.4pt;z-index:251669504;mso-width-relative:page;mso-height-relative:page;" filled="f" stroked="f" coordsize="21600,21600">
            <v:path/>
            <v:fill on="f" focussize="0,0"/>
            <v:stroke on="f"/>
            <v:imagedata o:title=""/>
            <o:lock v:ext="edit" aspectratio="f"/>
            <v:textbox>
              <w:txbxContent>
                <w:p>
                  <w:pPr>
                    <w:rPr>
                      <w:rFonts w:hint="eastAsia" w:eastAsiaTheme="minorEastAsia"/>
                      <w:lang w:val="en-US" w:eastAsia="zh-CN"/>
                    </w:rPr>
                  </w:pPr>
                  <w:r>
                    <w:rPr>
                      <w:rFonts w:hint="eastAsia"/>
                      <w:lang w:val="en-US" w:eastAsia="zh-CN"/>
                    </w:rPr>
                    <w:t>P</w:t>
                  </w:r>
                </w:p>
              </w:txbxContent>
            </v:textbox>
          </v:shape>
        </w:pict>
      </w:r>
      <w:r>
        <w:rPr>
          <w:sz w:val="21"/>
        </w:rPr>
        <w:pict>
          <v:shape id="_x0000_s1044" o:spid="_x0000_s1044" o:spt="202" type="#_x0000_t202" style="position:absolute;left:0pt;margin-left:273.3pt;margin-top:10.9pt;height:20.05pt;width:13.35pt;z-index:251668480;mso-width-relative:page;mso-height-relative:page;" filled="f" stroked="f" coordsize="21600,21600">
            <v:path/>
            <v:fill on="f" focussize="0,0"/>
            <v:stroke on="f"/>
            <v:imagedata o:title=""/>
            <o:lock v:ext="edit" aspectratio="f"/>
            <v:textbox>
              <w:txbxContent>
                <w:p>
                  <w:pPr>
                    <w:rPr>
                      <w:rFonts w:hint="eastAsia" w:eastAsiaTheme="minorEastAsia"/>
                      <w:lang w:val="en-US" w:eastAsia="zh-CN"/>
                    </w:rPr>
                  </w:pPr>
                  <w:r>
                    <w:rPr>
                      <w:rFonts w:hint="eastAsia"/>
                      <w:lang w:val="en-US" w:eastAsia="zh-CN"/>
                    </w:rPr>
                    <w:t>S</w:t>
                  </w:r>
                </w:p>
              </w:txbxContent>
            </v:textbox>
          </v:shape>
        </w:pict>
      </w:r>
      <w:r>
        <w:rPr>
          <w:sz w:val="21"/>
        </w:rPr>
        <w:pict>
          <v:shape id="_x0000_s1043" o:spid="_x0000_s1043" o:spt="202" type="#_x0000_t202" style="position:absolute;left:0pt;margin-left:239.5pt;margin-top:11.2pt;height:23.55pt;width:22.6pt;z-index:251667456;mso-width-relative:page;mso-height-relative:page;" filled="f" stroked="f" coordsize="21600,21600">
            <v:path/>
            <v:fill on="f" focussize="0,0"/>
            <v:stroke on="f"/>
            <v:imagedata o:title=""/>
            <o:lock v:ext="edit" aspectratio="f"/>
            <v:textbox>
              <w:txbxContent>
                <w:p>
                  <w:pPr>
                    <w:rPr>
                      <w:rFonts w:hint="eastAsia" w:eastAsiaTheme="minorEastAsia"/>
                      <w:lang w:val="en-US" w:eastAsia="zh-CN"/>
                    </w:rPr>
                  </w:pPr>
                  <w:r>
                    <w:rPr>
                      <w:rFonts w:hint="eastAsia"/>
                      <w:lang w:val="en-US" w:eastAsia="zh-CN"/>
                    </w:rPr>
                    <w:t>M</w:t>
                  </w:r>
                </w:p>
              </w:txbxContent>
            </v:textbox>
          </v:shape>
        </w:pict>
      </w:r>
      <w:r>
        <w:rPr>
          <w:sz w:val="21"/>
        </w:rPr>
        <w:pict>
          <v:shape id="_x0000_s1042" o:spid="_x0000_s1042" o:spt="3" type="#_x0000_t3" style="position:absolute;left:0pt;margin-left:267.8pt;margin-top:8.15pt;height:30pt;width:29.55pt;z-index:251666432;mso-width-relative:page;mso-height-relative:page;" fillcolor="#FFFFFF" filled="t" stroked="t" coordsize="21600,21600">
            <v:path/>
            <v:fill on="t" focussize="0,0"/>
            <v:stroke color="#000000"/>
            <v:imagedata o:title=""/>
            <o:lock v:ext="edit" aspectratio="f"/>
          </v:shape>
        </w:pict>
      </w:r>
      <w:r>
        <w:rPr>
          <w:sz w:val="21"/>
        </w:rPr>
        <w:pict>
          <v:shape id="_x0000_s1039" o:spid="_x0000_s1039" o:spt="202" type="#_x0000_t202" style="position:absolute;left:0pt;margin-left:104.05pt;margin-top:12.35pt;height:19.55pt;width:14.7pt;z-index:251663360;mso-width-relative:page;mso-height-relative:page;" filled="f" stroked="f" coordsize="21600,21600">
            <v:path/>
            <v:fill on="f" focussize="0,0"/>
            <v:stroke on="f"/>
            <v:imagedata o:title=""/>
            <o:lock v:ext="edit" aspectratio="f"/>
            <v:textbox>
              <w:txbxContent>
                <w:p>
                  <w:pPr>
                    <w:rPr>
                      <w:rFonts w:hint="eastAsia" w:eastAsiaTheme="minorEastAsia"/>
                      <w:lang w:val="en-US" w:eastAsia="zh-CN"/>
                    </w:rPr>
                  </w:pPr>
                  <w:r>
                    <w:rPr>
                      <w:rFonts w:hint="eastAsia"/>
                      <w:lang w:val="en-US" w:eastAsia="zh-CN"/>
                    </w:rPr>
                    <w:t>S</w:t>
                  </w:r>
                </w:p>
              </w:txbxContent>
            </v:textbox>
          </v:shape>
        </w:pict>
      </w:r>
      <w:r>
        <w:rPr>
          <w:sz w:val="21"/>
        </w:rPr>
        <w:pict>
          <v:shape id="_x0000_s1035" o:spid="_x0000_s1035" o:spt="202" type="#_x0000_t202" style="position:absolute;left:0pt;margin-left:71.65pt;margin-top:12.65pt;height:20.85pt;width:20.45pt;z-index:251662336;mso-width-relative:page;mso-height-relative:page;" filled="f" stroked="f" coordsize="21600,21600">
            <v:path/>
            <v:fill on="f" focussize="0,0"/>
            <v:stroke on="f"/>
            <v:imagedata o:title=""/>
            <o:lock v:ext="edit" aspectratio="f"/>
            <v:textbox>
              <w:txbxContent>
                <w:p>
                  <w:pPr>
                    <w:rPr>
                      <w:rFonts w:hint="eastAsia" w:eastAsiaTheme="minorEastAsia"/>
                      <w:lang w:val="en-US" w:eastAsia="zh-CN"/>
                    </w:rPr>
                  </w:pPr>
                  <w:r>
                    <w:rPr>
                      <w:rFonts w:hint="eastAsia"/>
                      <w:lang w:val="en-US" w:eastAsia="zh-CN"/>
                    </w:rPr>
                    <w:t>M</w:t>
                  </w:r>
                </w:p>
              </w:txbxContent>
            </v:textbox>
          </v:shape>
        </w:pict>
      </w:r>
      <w:r>
        <w:rPr>
          <w:sz w:val="21"/>
        </w:rPr>
        <w:pict>
          <v:shape id="_x0000_s1034" o:spid="_x0000_s1034" o:spt="202" type="#_x0000_t202" style="position:absolute;left:0pt;margin-left:40.85pt;margin-top:13.65pt;height:24.45pt;width:21.7pt;z-index:251661312;mso-width-relative:page;mso-height-relative:page;" filled="f" stroked="f" coordsize="21600,21600">
            <v:path/>
            <v:fill on="f" focussize="0,0"/>
            <v:stroke on="f"/>
            <v:imagedata o:title=""/>
            <o:lock v:ext="edit" aspectratio="f"/>
            <v:textbox>
              <w:txbxContent>
                <w:p>
                  <w:pPr>
                    <w:rPr>
                      <w:rFonts w:hint="eastAsia" w:eastAsiaTheme="minorEastAsia"/>
                      <w:lang w:val="en-US" w:eastAsia="zh-CN"/>
                    </w:rPr>
                  </w:pPr>
                  <w:r>
                    <w:rPr>
                      <w:rFonts w:hint="eastAsia"/>
                      <w:lang w:val="en-US" w:eastAsia="zh-CN"/>
                    </w:rPr>
                    <w:t>P</w:t>
                  </w:r>
                </w:p>
              </w:txbxContent>
            </v:textbox>
          </v:shape>
        </w:pict>
      </w:r>
      <w:r>
        <w:rPr>
          <w:rFonts w:hint="eastAsia" w:ascii="宋体" w:hAnsi="宋体" w:eastAsia="宋体" w:cs="宋体"/>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图1                                        图2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图1表示</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类包含</w:t>
      </w:r>
      <w:r>
        <w:rPr>
          <w:rFonts w:hint="eastAsia" w:ascii="宋体" w:hAnsi="宋体" w:eastAsia="宋体" w:cs="宋体"/>
          <w:b/>
          <w:bCs/>
          <w:sz w:val="24"/>
          <w:szCs w:val="24"/>
          <w:highlight w:val="none"/>
          <w:lang w:val="en-US" w:eastAsia="zh-CN"/>
        </w:rPr>
        <w:t>M</w:t>
      </w:r>
      <w:r>
        <w:rPr>
          <w:rFonts w:hint="eastAsia" w:ascii="宋体" w:hAnsi="宋体" w:eastAsia="宋体" w:cs="宋体"/>
          <w:sz w:val="24"/>
          <w:szCs w:val="24"/>
          <w:highlight w:val="none"/>
          <w:lang w:val="en-US" w:eastAsia="zh-CN"/>
        </w:rPr>
        <w:t>类，即所有的</w:t>
      </w:r>
      <w:r>
        <w:rPr>
          <w:rFonts w:hint="eastAsia" w:ascii="宋体" w:hAnsi="宋体" w:eastAsia="宋体" w:cs="宋体"/>
          <w:b/>
          <w:bCs/>
          <w:sz w:val="24"/>
          <w:szCs w:val="24"/>
          <w:highlight w:val="none"/>
          <w:lang w:val="en-US" w:eastAsia="zh-CN"/>
        </w:rPr>
        <w:t>M</w:t>
      </w:r>
      <w:r>
        <w:rPr>
          <w:rFonts w:hint="eastAsia" w:ascii="宋体" w:hAnsi="宋体" w:eastAsia="宋体" w:cs="宋体"/>
          <w:sz w:val="24"/>
          <w:szCs w:val="24"/>
          <w:highlight w:val="none"/>
          <w:lang w:val="en-US" w:eastAsia="zh-CN"/>
        </w:rPr>
        <w:t>都是</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,所以，包含于</w:t>
      </w:r>
      <w:r>
        <w:rPr>
          <w:rFonts w:hint="eastAsia" w:ascii="宋体" w:hAnsi="宋体" w:eastAsia="宋体" w:cs="宋体"/>
          <w:b/>
          <w:bCs/>
          <w:sz w:val="24"/>
          <w:szCs w:val="24"/>
          <w:highlight w:val="none"/>
          <w:lang w:val="en-US" w:eastAsia="zh-CN"/>
        </w:rPr>
        <w:t>M</w:t>
      </w:r>
      <w:r>
        <w:rPr>
          <w:rFonts w:hint="eastAsia" w:ascii="宋体" w:hAnsi="宋体" w:eastAsia="宋体" w:cs="宋体"/>
          <w:sz w:val="24"/>
          <w:szCs w:val="24"/>
          <w:highlight w:val="none"/>
          <w:lang w:val="en-US" w:eastAsia="zh-CN"/>
        </w:rPr>
        <w:t>类的</w:t>
      </w:r>
      <w:r>
        <w:rPr>
          <w:rFonts w:hint="eastAsia" w:ascii="宋体" w:hAnsi="宋体" w:eastAsia="宋体" w:cs="宋体"/>
          <w:b/>
          <w:bCs/>
          <w:sz w:val="24"/>
          <w:szCs w:val="24"/>
          <w:highlight w:val="none"/>
          <w:lang w:val="en-US" w:eastAsia="zh-CN"/>
        </w:rPr>
        <w:t>S</w:t>
      </w:r>
      <w:r>
        <w:rPr>
          <w:rFonts w:hint="eastAsia" w:ascii="宋体" w:hAnsi="宋体" w:eastAsia="宋体" w:cs="宋体"/>
          <w:sz w:val="24"/>
          <w:szCs w:val="24"/>
          <w:highlight w:val="none"/>
          <w:lang w:val="en-US" w:eastAsia="zh-CN"/>
        </w:rPr>
        <w:t>也必然被</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类所包含，即所有的</w:t>
      </w:r>
      <w:r>
        <w:rPr>
          <w:rFonts w:hint="eastAsia" w:ascii="宋体" w:hAnsi="宋体" w:eastAsia="宋体" w:cs="宋体"/>
          <w:b/>
          <w:bCs/>
          <w:sz w:val="24"/>
          <w:szCs w:val="24"/>
          <w:highlight w:val="none"/>
          <w:lang w:val="en-US" w:eastAsia="zh-CN"/>
        </w:rPr>
        <w:t>S</w:t>
      </w:r>
      <w:r>
        <w:rPr>
          <w:rFonts w:hint="eastAsia" w:ascii="宋体" w:hAnsi="宋体" w:eastAsia="宋体" w:cs="宋体"/>
          <w:sz w:val="24"/>
          <w:szCs w:val="24"/>
          <w:highlight w:val="none"/>
          <w:lang w:val="en-US" w:eastAsia="zh-CN"/>
        </w:rPr>
        <w:t>是</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。“中效”相当于三段论的第一格，推论依据如图1所示，其结构式为：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宋体" w:hAnsi="宋体" w:eastAsia="宋体" w:cs="宋体"/>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所有</w:t>
      </w:r>
      <w:r>
        <w:rPr>
          <w:rFonts w:hint="eastAsia" w:ascii="楷体" w:hAnsi="楷体" w:eastAsia="楷体" w:cs="楷体"/>
          <w:b/>
          <w:bCs/>
          <w:sz w:val="24"/>
          <w:szCs w:val="24"/>
          <w:highlight w:val="none"/>
          <w:lang w:val="en-US" w:eastAsia="zh-CN"/>
        </w:rPr>
        <w:t>M</w:t>
      </w:r>
      <w:r>
        <w:rPr>
          <w:rFonts w:hint="eastAsia" w:ascii="楷体" w:hAnsi="楷体" w:eastAsia="楷体" w:cs="楷体"/>
          <w:sz w:val="24"/>
          <w:szCs w:val="24"/>
          <w:highlight w:val="none"/>
          <w:lang w:val="en-US" w:eastAsia="zh-CN"/>
        </w:rPr>
        <w:t>是</w:t>
      </w:r>
      <w:r>
        <w:rPr>
          <w:rFonts w:hint="eastAsia" w:ascii="楷体" w:hAnsi="楷体" w:eastAsia="楷体" w:cs="楷体"/>
          <w:b/>
          <w:bCs/>
          <w:sz w:val="24"/>
          <w:szCs w:val="24"/>
          <w:highlight w:val="none"/>
          <w:lang w:val="en-US" w:eastAsia="zh-CN"/>
        </w:rPr>
        <w:t>P</w:t>
      </w:r>
      <w:r>
        <w:rPr>
          <w:rFonts w:hint="eastAsia" w:ascii="楷体" w:hAnsi="楷体" w:eastAsia="楷体" w:cs="楷体"/>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所有</w:t>
      </w:r>
      <w:r>
        <w:rPr>
          <w:rFonts w:hint="eastAsia" w:ascii="楷体" w:hAnsi="楷体" w:eastAsia="楷体" w:cs="楷体"/>
          <w:b/>
          <w:bCs/>
          <w:sz w:val="24"/>
          <w:szCs w:val="24"/>
          <w:highlight w:val="none"/>
          <w:lang w:val="en-US" w:eastAsia="zh-CN"/>
        </w:rPr>
        <w:t>S</w:t>
      </w:r>
      <w:r>
        <w:rPr>
          <w:rFonts w:hint="eastAsia" w:ascii="楷体" w:hAnsi="楷体" w:eastAsia="楷体" w:cs="楷体"/>
          <w:sz w:val="24"/>
          <w:szCs w:val="24"/>
          <w:highlight w:val="none"/>
          <w:lang w:val="en-US" w:eastAsia="zh-CN"/>
        </w:rPr>
        <w:t>是</w:t>
      </w:r>
      <w:r>
        <w:rPr>
          <w:rFonts w:hint="eastAsia" w:ascii="楷体" w:hAnsi="楷体" w:eastAsia="楷体" w:cs="楷体"/>
          <w:b/>
          <w:bCs/>
          <w:sz w:val="24"/>
          <w:szCs w:val="24"/>
          <w:highlight w:val="none"/>
          <w:lang w:val="en-US" w:eastAsia="zh-CN"/>
        </w:rPr>
        <w:t>M</w:t>
      </w:r>
      <w:r>
        <w:rPr>
          <w:rFonts w:hint="eastAsia" w:ascii="楷体" w:hAnsi="楷体" w:eastAsia="楷体" w:cs="楷体"/>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right="0" w:rightChars="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rPr>
        <w:pict>
          <v:line id="_x0000_s1047" o:spid="_x0000_s1047" o:spt="20" style="position:absolute;left:0pt;margin-left:41.15pt;margin-top:5.15pt;height:0.05pt;width:105.9pt;z-index:251670528;mso-width-relative:page;mso-height-relative:page;" filled="f" stroked="t" coordsize="21600,21600">
            <v:path arrowok="t"/>
            <v:fill on="f" focussize="0,0"/>
            <v:stroke color="#000000"/>
            <v:imagedata o:title=""/>
            <o:lock v:ext="edit" aspectratio="f"/>
          </v:line>
        </w:pic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right="0" w:rightChars="0" w:firstLine="480" w:firstLineChars="200"/>
        <w:jc w:val="both"/>
        <w:textAlignment w:val="auto"/>
        <w:outlineLvl w:val="9"/>
        <w:rPr>
          <w:rFonts w:hint="eastAsia" w:ascii="宋体" w:hAnsi="宋体" w:eastAsia="宋体" w:cs="宋体"/>
          <w:sz w:val="24"/>
          <w:szCs w:val="24"/>
          <w:highlight w:val="none"/>
          <w:lang w:val="en-US" w:eastAsia="zh-CN"/>
        </w:rPr>
      </w:pPr>
      <w:r>
        <w:rPr>
          <w:rFonts w:hint="eastAsia" w:ascii="楷体" w:hAnsi="楷体" w:eastAsia="楷体" w:cs="楷体"/>
          <w:sz w:val="24"/>
          <w:szCs w:val="24"/>
          <w:highlight w:val="none"/>
          <w:lang w:val="en-US" w:eastAsia="zh-CN"/>
        </w:rPr>
        <w:t>所以，所有</w:t>
      </w:r>
      <w:r>
        <w:rPr>
          <w:rFonts w:hint="eastAsia" w:ascii="楷体" w:hAnsi="楷体" w:eastAsia="楷体" w:cs="楷体"/>
          <w:b/>
          <w:bCs/>
          <w:sz w:val="24"/>
          <w:szCs w:val="24"/>
          <w:highlight w:val="none"/>
          <w:lang w:val="en-US" w:eastAsia="zh-CN"/>
        </w:rPr>
        <w:t>S</w:t>
      </w:r>
      <w:r>
        <w:rPr>
          <w:rFonts w:hint="eastAsia" w:ascii="楷体" w:hAnsi="楷体" w:eastAsia="楷体" w:cs="楷体"/>
          <w:sz w:val="24"/>
          <w:szCs w:val="24"/>
          <w:highlight w:val="none"/>
          <w:lang w:val="en-US" w:eastAsia="zh-CN"/>
        </w:rPr>
        <w:t>是</w:t>
      </w:r>
      <w:r>
        <w:rPr>
          <w:rFonts w:hint="eastAsia" w:ascii="楷体" w:hAnsi="楷体" w:eastAsia="楷体" w:cs="楷体"/>
          <w:b/>
          <w:bCs/>
          <w:sz w:val="24"/>
          <w:szCs w:val="24"/>
          <w:highlight w:val="none"/>
          <w:lang w:val="en-US" w:eastAsia="zh-CN"/>
        </w:rPr>
        <w:t>P</w:t>
      </w:r>
      <w:r>
        <w:rPr>
          <w:rFonts w:hint="eastAsia" w:ascii="楷体" w:hAnsi="楷体" w:eastAsia="楷体" w:cs="楷体"/>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right="0" w:rightChars="0" w:firstLine="480" w:firstLineChars="200"/>
        <w:jc w:val="both"/>
        <w:textAlignment w:val="auto"/>
        <w:outlineLvl w:val="9"/>
        <w:rPr>
          <w:rFonts w:hint="eastAsia" w:ascii="宋体" w:hAnsi="宋体" w:eastAsia="宋体" w:cs="宋体"/>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以一具体运用“效”式推论例子来证明这一推理过程，例如：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凡一中同长的图形是圆形；（效）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此图形是一中同长的图形；（所效）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所以，此图形是圆形。（中效）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图2表示</w:t>
      </w:r>
      <w:r>
        <w:rPr>
          <w:rFonts w:hint="eastAsia" w:ascii="宋体" w:hAnsi="宋体" w:eastAsia="宋体" w:cs="宋体"/>
          <w:b/>
          <w:bCs/>
          <w:sz w:val="24"/>
          <w:szCs w:val="24"/>
          <w:highlight w:val="none"/>
          <w:lang w:val="en-US" w:eastAsia="zh-CN"/>
        </w:rPr>
        <w:t>M</w:t>
      </w:r>
      <w:r>
        <w:rPr>
          <w:rFonts w:hint="eastAsia" w:ascii="宋体" w:hAnsi="宋体" w:eastAsia="宋体" w:cs="宋体"/>
          <w:sz w:val="24"/>
          <w:szCs w:val="24"/>
          <w:highlight w:val="none"/>
          <w:lang w:val="en-US" w:eastAsia="zh-CN"/>
        </w:rPr>
        <w:t>类与</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类相排斥，即所有的</w:t>
      </w:r>
      <w:r>
        <w:rPr>
          <w:rFonts w:hint="eastAsia" w:ascii="宋体" w:hAnsi="宋体" w:eastAsia="宋体" w:cs="宋体"/>
          <w:b/>
          <w:bCs/>
          <w:sz w:val="24"/>
          <w:szCs w:val="24"/>
          <w:highlight w:val="none"/>
          <w:lang w:val="en-US" w:eastAsia="zh-CN"/>
        </w:rPr>
        <w:t>M</w:t>
      </w:r>
      <w:r>
        <w:rPr>
          <w:rFonts w:hint="eastAsia" w:ascii="宋体" w:hAnsi="宋体" w:eastAsia="宋体" w:cs="宋体"/>
          <w:sz w:val="24"/>
          <w:szCs w:val="24"/>
          <w:highlight w:val="none"/>
          <w:lang w:val="en-US" w:eastAsia="zh-CN"/>
        </w:rPr>
        <w:t>不是</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，所以，</w:t>
      </w:r>
      <w:r>
        <w:rPr>
          <w:rFonts w:hint="eastAsia" w:ascii="宋体" w:hAnsi="宋体" w:eastAsia="宋体" w:cs="宋体"/>
          <w:b/>
          <w:bCs/>
          <w:sz w:val="24"/>
          <w:szCs w:val="24"/>
          <w:highlight w:val="none"/>
          <w:lang w:val="en-US" w:eastAsia="zh-CN"/>
        </w:rPr>
        <w:t>M</w:t>
      </w:r>
      <w:r>
        <w:rPr>
          <w:rFonts w:hint="eastAsia" w:ascii="宋体" w:hAnsi="宋体" w:eastAsia="宋体" w:cs="宋体"/>
          <w:sz w:val="24"/>
          <w:szCs w:val="24"/>
          <w:highlight w:val="none"/>
          <w:lang w:val="en-US" w:eastAsia="zh-CN"/>
        </w:rPr>
        <w:t>类中的一部分（</w:t>
      </w:r>
      <w:r>
        <w:rPr>
          <w:rFonts w:hint="eastAsia" w:ascii="宋体" w:hAnsi="宋体" w:eastAsia="宋体" w:cs="宋体"/>
          <w:b/>
          <w:bCs/>
          <w:sz w:val="24"/>
          <w:szCs w:val="24"/>
          <w:highlight w:val="none"/>
          <w:lang w:val="en-US" w:eastAsia="zh-CN"/>
        </w:rPr>
        <w:t>S</w:t>
      </w:r>
      <w:r>
        <w:rPr>
          <w:rFonts w:hint="eastAsia" w:ascii="宋体" w:hAnsi="宋体" w:eastAsia="宋体" w:cs="宋体"/>
          <w:sz w:val="24"/>
          <w:szCs w:val="24"/>
          <w:highlight w:val="none"/>
          <w:lang w:val="en-US" w:eastAsia="zh-CN"/>
        </w:rPr>
        <w:t>）,必然也与</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类相排斥，即所有的</w:t>
      </w:r>
      <w:r>
        <w:rPr>
          <w:rFonts w:hint="eastAsia" w:ascii="宋体" w:hAnsi="宋体" w:eastAsia="宋体" w:cs="宋体"/>
          <w:b/>
          <w:bCs/>
          <w:sz w:val="24"/>
          <w:szCs w:val="24"/>
          <w:highlight w:val="none"/>
          <w:lang w:val="en-US" w:eastAsia="zh-CN"/>
        </w:rPr>
        <w:t>S</w:t>
      </w:r>
      <w:r>
        <w:rPr>
          <w:rFonts w:hint="eastAsia" w:ascii="宋体" w:hAnsi="宋体" w:eastAsia="宋体" w:cs="宋体"/>
          <w:sz w:val="24"/>
          <w:szCs w:val="24"/>
          <w:highlight w:val="none"/>
          <w:lang w:val="en-US" w:eastAsia="zh-CN"/>
        </w:rPr>
        <w:t>不是</w:t>
      </w:r>
      <w:r>
        <w:rPr>
          <w:rFonts w:hint="eastAsia" w:ascii="宋体" w:hAnsi="宋体" w:eastAsia="宋体" w:cs="宋体"/>
          <w:b/>
          <w:bCs/>
          <w:sz w:val="24"/>
          <w:szCs w:val="24"/>
          <w:highlight w:val="none"/>
          <w:lang w:val="en-US" w:eastAsia="zh-CN"/>
        </w:rPr>
        <w:t>P</w:t>
      </w:r>
      <w:r>
        <w:rPr>
          <w:rFonts w:hint="eastAsia" w:ascii="宋体" w:hAnsi="宋体" w:eastAsia="宋体" w:cs="宋体"/>
          <w:sz w:val="24"/>
          <w:szCs w:val="24"/>
          <w:highlight w:val="none"/>
          <w:lang w:val="en-US" w:eastAsia="zh-CN"/>
        </w:rPr>
        <w:t>。</w:t>
      </w:r>
      <w:r>
        <w:rPr>
          <w:rStyle w:val="14"/>
          <w:rFonts w:hint="eastAsia" w:ascii="宋体" w:hAnsi="宋体" w:eastAsia="宋体" w:cs="宋体"/>
          <w:sz w:val="24"/>
          <w:szCs w:val="24"/>
          <w:highlight w:val="none"/>
          <w:lang w:val="en-US" w:eastAsia="zh-CN"/>
        </w:rPr>
        <w:footnoteReference w:id="34"/>
      </w:r>
      <w:r>
        <w:rPr>
          <w:rFonts w:hint="eastAsia" w:ascii="宋体" w:hAnsi="宋体" w:eastAsia="宋体" w:cs="宋体"/>
          <w:sz w:val="24"/>
          <w:szCs w:val="24"/>
          <w:highlight w:val="none"/>
          <w:lang w:val="en-US" w:eastAsia="zh-CN"/>
        </w:rPr>
        <w:t>“不中效”相当于三段论的第二格，推论依据如图2所示，其结构式为：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所有</w:t>
      </w:r>
      <w:r>
        <w:rPr>
          <w:rFonts w:hint="eastAsia" w:ascii="楷体" w:hAnsi="楷体" w:eastAsia="楷体" w:cs="楷体"/>
          <w:b/>
          <w:bCs/>
          <w:sz w:val="24"/>
          <w:szCs w:val="24"/>
          <w:highlight w:val="none"/>
          <w:lang w:val="en-US" w:eastAsia="zh-CN"/>
        </w:rPr>
        <w:t>M</w:t>
      </w:r>
      <w:r>
        <w:rPr>
          <w:rFonts w:hint="eastAsia" w:ascii="楷体" w:hAnsi="楷体" w:eastAsia="楷体" w:cs="楷体"/>
          <w:b w:val="0"/>
          <w:bCs w:val="0"/>
          <w:sz w:val="24"/>
          <w:szCs w:val="24"/>
          <w:highlight w:val="none"/>
          <w:lang w:val="en-US" w:eastAsia="zh-CN"/>
        </w:rPr>
        <w:t>不</w:t>
      </w:r>
      <w:r>
        <w:rPr>
          <w:rFonts w:hint="eastAsia" w:ascii="楷体" w:hAnsi="楷体" w:eastAsia="楷体" w:cs="楷体"/>
          <w:sz w:val="24"/>
          <w:szCs w:val="24"/>
          <w:highlight w:val="none"/>
          <w:lang w:val="en-US" w:eastAsia="zh-CN"/>
        </w:rPr>
        <w:t>是</w:t>
      </w:r>
      <w:r>
        <w:rPr>
          <w:rFonts w:hint="eastAsia" w:ascii="楷体" w:hAnsi="楷体" w:eastAsia="楷体" w:cs="楷体"/>
          <w:b/>
          <w:bCs/>
          <w:sz w:val="24"/>
          <w:szCs w:val="24"/>
          <w:highlight w:val="none"/>
          <w:lang w:val="en-US" w:eastAsia="zh-CN"/>
        </w:rPr>
        <w:t>P</w:t>
      </w:r>
      <w:r>
        <w:rPr>
          <w:rFonts w:hint="eastAsia" w:ascii="楷体" w:hAnsi="楷体" w:eastAsia="楷体" w:cs="楷体"/>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所有</w:t>
      </w:r>
      <w:r>
        <w:rPr>
          <w:rFonts w:hint="eastAsia" w:ascii="楷体" w:hAnsi="楷体" w:eastAsia="楷体" w:cs="楷体"/>
          <w:b/>
          <w:bCs/>
          <w:sz w:val="24"/>
          <w:szCs w:val="24"/>
          <w:highlight w:val="none"/>
          <w:lang w:val="en-US" w:eastAsia="zh-CN"/>
        </w:rPr>
        <w:t>S</w:t>
      </w:r>
      <w:r>
        <w:rPr>
          <w:rFonts w:hint="eastAsia" w:ascii="楷体" w:hAnsi="楷体" w:eastAsia="楷体" w:cs="楷体"/>
          <w:sz w:val="24"/>
          <w:szCs w:val="24"/>
          <w:highlight w:val="none"/>
          <w:lang w:val="en-US" w:eastAsia="zh-CN"/>
        </w:rPr>
        <w:t>是</w:t>
      </w:r>
      <w:r>
        <w:rPr>
          <w:rFonts w:hint="eastAsia" w:ascii="楷体" w:hAnsi="楷体" w:eastAsia="楷体" w:cs="楷体"/>
          <w:b/>
          <w:bCs/>
          <w:sz w:val="24"/>
          <w:szCs w:val="24"/>
          <w:highlight w:val="none"/>
          <w:lang w:val="en-US" w:eastAsia="zh-CN"/>
        </w:rPr>
        <w:t>M</w:t>
      </w:r>
      <w:r>
        <w:rPr>
          <w:rFonts w:hint="eastAsia" w:ascii="楷体" w:hAnsi="楷体" w:eastAsia="楷体" w:cs="楷体"/>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rPr>
        <w:pict>
          <v:line id="_x0000_s1048" o:spid="_x0000_s1048" o:spt="20" style="position:absolute;left:0pt;margin-left:41.15pt;margin-top:5.15pt;height:0.05pt;width:105.9pt;z-index:251683840;mso-width-relative:page;mso-height-relative:page;" filled="f" stroked="t" coordsize="21600,21600">
            <v:path arrowok="t"/>
            <v:fill on="f" focussize="0,0"/>
            <v:stroke color="#000000"/>
            <v:imagedata o:title=""/>
            <o:lock v:ext="edit" aspectratio="f"/>
          </v:line>
        </w:pic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所以，所有</w:t>
      </w:r>
      <w:r>
        <w:rPr>
          <w:rFonts w:hint="eastAsia" w:ascii="楷体" w:hAnsi="楷体" w:eastAsia="楷体" w:cs="楷体"/>
          <w:b/>
          <w:bCs/>
          <w:sz w:val="24"/>
          <w:szCs w:val="24"/>
          <w:highlight w:val="none"/>
          <w:lang w:val="en-US" w:eastAsia="zh-CN"/>
        </w:rPr>
        <w:t>S</w:t>
      </w:r>
      <w:r>
        <w:rPr>
          <w:rFonts w:hint="eastAsia" w:ascii="楷体" w:hAnsi="楷体" w:eastAsia="楷体" w:cs="楷体"/>
          <w:b w:val="0"/>
          <w:bCs w:val="0"/>
          <w:sz w:val="24"/>
          <w:szCs w:val="24"/>
          <w:highlight w:val="none"/>
          <w:lang w:val="en-US" w:eastAsia="zh-CN"/>
        </w:rPr>
        <w:t>不</w:t>
      </w:r>
      <w:r>
        <w:rPr>
          <w:rFonts w:hint="eastAsia" w:ascii="楷体" w:hAnsi="楷体" w:eastAsia="楷体" w:cs="楷体"/>
          <w:sz w:val="24"/>
          <w:szCs w:val="24"/>
          <w:highlight w:val="none"/>
          <w:lang w:val="en-US" w:eastAsia="zh-CN"/>
        </w:rPr>
        <w:t>是</w:t>
      </w:r>
      <w:r>
        <w:rPr>
          <w:rFonts w:hint="eastAsia" w:ascii="楷体" w:hAnsi="楷体" w:eastAsia="楷体" w:cs="楷体"/>
          <w:b/>
          <w:bCs/>
          <w:sz w:val="24"/>
          <w:szCs w:val="24"/>
          <w:highlight w:val="none"/>
          <w:lang w:val="en-US" w:eastAsia="zh-CN"/>
        </w:rPr>
        <w:t>P</w:t>
      </w:r>
      <w:r>
        <w:rPr>
          <w:rFonts w:hint="eastAsia" w:ascii="楷体" w:hAnsi="楷体" w:eastAsia="楷体" w:cs="楷体"/>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也可以用圆形的例子来解释这个结构式：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凡圆形是一中同长的图形；（效）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此图形不是一中同长的图形；（所效）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所以，此图形不是圆形。（中效）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可以看出，“效”式推论所运用的推论结构，与亚里士多德的三段论形式是基本一致的，只是二者的推理依据</w:t>
      </w:r>
      <w:r>
        <w:rPr>
          <w:rStyle w:val="14"/>
          <w:rFonts w:hint="eastAsia" w:ascii="宋体" w:hAnsi="宋体" w:eastAsia="宋体" w:cs="宋体"/>
          <w:sz w:val="24"/>
          <w:szCs w:val="24"/>
          <w:highlight w:val="none"/>
          <w:lang w:eastAsia="zh-CN"/>
        </w:rPr>
        <w:footnoteReference w:id="35"/>
      </w:r>
      <w:r>
        <w:rPr>
          <w:rFonts w:hint="eastAsia" w:ascii="宋体" w:hAnsi="宋体" w:eastAsia="宋体" w:cs="宋体"/>
          <w:sz w:val="24"/>
          <w:szCs w:val="24"/>
          <w:highlight w:val="none"/>
          <w:lang w:eastAsia="zh-CN"/>
        </w:rPr>
        <w:t>的出发点不同。亚氏三段论是基于外延类包含关系进行推演的，而《墨辩》侧重于对同一类事物本质属性的内涵分析概括。</w:t>
      </w:r>
      <w:r>
        <w:rPr>
          <w:rStyle w:val="14"/>
          <w:rFonts w:hint="eastAsia" w:ascii="宋体" w:hAnsi="宋体" w:eastAsia="宋体" w:cs="宋体"/>
          <w:sz w:val="24"/>
          <w:szCs w:val="24"/>
          <w:highlight w:val="none"/>
          <w:lang w:eastAsia="zh-CN"/>
        </w:rPr>
        <w:footnoteReference w:id="36"/>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辟。“辟也者，举也（他）物而以明之也。”即辟是举他物以明此物，由个别推出个别。孙诒让《墨子间诂》注云：“毕云，辟同譬”。沈有鼎先生指出：“辟”就是一种类比推论。</w:t>
      </w:r>
      <w:r>
        <w:rPr>
          <w:rStyle w:val="14"/>
          <w:rFonts w:hint="eastAsia" w:ascii="宋体" w:hAnsi="宋体" w:eastAsia="宋体" w:cs="宋体"/>
          <w:sz w:val="24"/>
          <w:szCs w:val="24"/>
          <w:lang w:eastAsia="zh-CN"/>
        </w:rPr>
        <w:footnoteReference w:id="37"/>
      </w:r>
      <w:r>
        <w:rPr>
          <w:rFonts w:hint="eastAsia" w:ascii="宋体" w:hAnsi="宋体" w:eastAsia="宋体" w:cs="宋体"/>
          <w:sz w:val="24"/>
          <w:szCs w:val="24"/>
          <w:lang w:eastAsia="zh-CN"/>
        </w:rPr>
        <w:t>这种论式得以进行的依据是所举的“他物”与要明的“此物”之间存在的“同”。“大国之攻小国，譬犹童子之为马也。童子之为马，足用而劳。”（《墨子·耕柱》）幼童骑马，是一种徒劳无功的儿戏，这与大国攻打小国有所相同，故由“童子之为马”推出大国攻小国也是“不足用而劳”</w:t>
      </w:r>
      <w:r>
        <w:rPr>
          <w:rStyle w:val="14"/>
          <w:rFonts w:hint="eastAsia" w:ascii="宋体" w:hAnsi="宋体" w:eastAsia="宋体" w:cs="宋体"/>
          <w:sz w:val="24"/>
          <w:szCs w:val="24"/>
          <w:lang w:eastAsia="zh-CN"/>
        </w:rPr>
        <w:footnoteReference w:id="38"/>
      </w:r>
      <w:r>
        <w:rPr>
          <w:rFonts w:hint="eastAsia" w:ascii="宋体" w:hAnsi="宋体" w:eastAsia="宋体" w:cs="宋体"/>
          <w:sz w:val="24"/>
          <w:szCs w:val="24"/>
          <w:lang w:eastAsia="zh-CN"/>
        </w:rPr>
        <w:t>。由于“物有以同而不率遂同”（《小取》），这种方法在运用中容易犯“行而异”的错误。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侔。“侔也者，比辞而俱行也。”即两个相似或相同的命题，做并列推论，或是在原有判断的基础上，改换为相类的“辞”（命题），从而推出新的判断。孙诒让说：“《说文》人部云：‘侔，齐等也’，谓词义齐等，比而同之。”胡适认为：“‘侔’，是用那一种辞比较这一种辞。”汪奠基指出“侔”相当于直接推理的附性法（有的逻辑教科书中称为复什概念推理）。</w:t>
      </w:r>
      <w:r>
        <w:rPr>
          <w:rStyle w:val="14"/>
          <w:rFonts w:hint="eastAsia" w:ascii="宋体" w:hAnsi="宋体" w:eastAsia="宋体" w:cs="宋体"/>
          <w:sz w:val="24"/>
          <w:szCs w:val="24"/>
          <w:lang w:eastAsia="zh-CN"/>
        </w:rPr>
        <w:footnoteReference w:id="39"/>
      </w:r>
      <w:r>
        <w:rPr>
          <w:rFonts w:hint="eastAsia" w:ascii="宋体" w:hAnsi="宋体" w:eastAsia="宋体" w:cs="宋体"/>
          <w:sz w:val="24"/>
          <w:szCs w:val="24"/>
          <w:lang w:eastAsia="zh-CN"/>
        </w:rPr>
        <w:t>“侔”式推论在《小取》中有例子：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白马，马也；乘白马，乘马也。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骊马，马也；乘骊马，乘马也。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获，人也；爱获，爱人也。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臧，人也；爱臧，爱人也。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这是说，白马是马；骑白马是骑马。骊马是马；骑骊马是骑马。“侔”是在一个直言判断（性质判断）的主、谓项上附加齐等辞得到结论，而结论与原有的直言判断（可看作前提）中主、谓项之间具有包含（或说类属）关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val="en-US" w:eastAsia="zh-CN"/>
        </w:rPr>
      </w:pPr>
      <w:r>
        <w:rPr>
          <w:rFonts w:hint="eastAsia"/>
          <w:sz w:val="24"/>
          <w:szCs w:val="24"/>
          <w:lang w:eastAsia="zh-CN"/>
        </w:rPr>
        <w:t>“故”范畴在先秦逻辑中表示推论依据和推理前提，亦通过“辞”的形式来反映，即“辞以故生”。《墨辩》又将出故以立辞的过程称为“说”，即推理。</w:t>
      </w:r>
      <w:r>
        <w:rPr>
          <w:rStyle w:val="14"/>
          <w:rFonts w:hint="eastAsia"/>
          <w:sz w:val="24"/>
          <w:szCs w:val="24"/>
          <w:lang w:eastAsia="zh-CN"/>
        </w:rPr>
        <w:footnoteReference w:id="40"/>
      </w:r>
      <w:r>
        <w:rPr>
          <w:rFonts w:hint="eastAsia"/>
          <w:sz w:val="24"/>
          <w:szCs w:val="24"/>
          <w:lang w:eastAsia="zh-CN"/>
        </w:rPr>
        <w:t>“说”的形式又以类推为重点，墨家在类推的运用上和对类推所作的理论分析上都做出了卓越的贡献。演绎和归纳的方法往往是以类推推理的形式兼容并用，这与早期西方传统逻辑以演绎推理为中心的特点不同。</w:t>
      </w:r>
      <w:r>
        <w:rPr>
          <w:rFonts w:hint="eastAsia" w:ascii="宋体" w:hAnsi="宋体" w:eastAsia="宋体" w:cs="宋体"/>
          <w:sz w:val="24"/>
          <w:szCs w:val="24"/>
          <w:lang w:val="en-US" w:eastAsia="zh-CN"/>
        </w:rPr>
        <w:t>《墨辩》并没有明确提出归纳、演绎等逻辑概念，虽然《墨辩》的论式在形式上与归纳、演绎颇为相似，但也不能被视为纯粹的归纳或演绎推理。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eastAsia="zh-CN"/>
        </w:rPr>
        <w:t>孙诒让</w:t>
      </w:r>
      <w:r>
        <w:rPr>
          <w:rFonts w:hint="eastAsia" w:ascii="宋体" w:hAnsi="宋体" w:eastAsia="宋体" w:cs="宋体"/>
          <w:sz w:val="24"/>
          <w:szCs w:val="24"/>
          <w:lang w:val="en-US" w:eastAsia="zh-CN"/>
        </w:rPr>
        <w:t>1897年写信给梁启超，说自己对“《经》、《说》诸篇宏义妙旨，所未窥者尚多。”并“疑其必有微言大例，如欧士论理家雅里大得勒（亚里斯多德）之演绎法，培根之归纳法，及佛氏之因明论者，惜今书讹缺，不能尽得其条理。”</w:t>
      </w:r>
      <w:r>
        <w:rPr>
          <w:rStyle w:val="14"/>
          <w:rFonts w:hint="eastAsia" w:ascii="宋体" w:hAnsi="宋体" w:eastAsia="宋体" w:cs="宋体"/>
          <w:sz w:val="24"/>
          <w:szCs w:val="24"/>
          <w:lang w:val="en-US" w:eastAsia="zh-CN"/>
        </w:rPr>
        <w:footnoteReference w:id="41"/>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从章太炎、梁启超、章士钊以来不少学者认为，“故、理、类”不仅是《墨辩》逻辑的三个基本范畴，也是《墨辩》逻辑中演绎推论的三个基本成分，并由此构成了“三物论式”。他们认为：“三物论式和三支论式一样，虽然偏重于论证的需要，其立辞（论证）的基本形式不像三段论式那样纯粹是一个严格的演绎形式和体系，但已经包含了演绎的基本内容和形式，它们在人类的思维发展过程中都起过十分重要的作用，都是正确推理的有效形式，因而在世界逻辑思想的发展史都应占有重要的地位。”</w:t>
      </w:r>
      <w:r>
        <w:rPr>
          <w:rStyle w:val="14"/>
          <w:rFonts w:hint="eastAsia" w:ascii="宋体" w:hAnsi="宋体" w:eastAsia="宋体" w:cs="宋体"/>
          <w:sz w:val="24"/>
          <w:szCs w:val="24"/>
          <w:lang w:val="en-US" w:eastAsia="zh-CN"/>
        </w:rPr>
        <w:footnoteReference w:id="42"/>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仿宋" w:hAnsi="仿宋" w:eastAsia="仿宋" w:cs="仿宋"/>
          <w:b/>
          <w:bCs/>
          <w:sz w:val="24"/>
          <w:szCs w:val="24"/>
        </w:rPr>
      </w:pPr>
      <w:r>
        <w:rPr>
          <w:rFonts w:hint="eastAsia" w:ascii="仿宋" w:hAnsi="仿宋" w:eastAsia="仿宋" w:cs="仿宋"/>
          <w:b/>
          <w:bCs/>
          <w:sz w:val="24"/>
          <w:szCs w:val="24"/>
        </w:rPr>
        <w:t>3、推类中逻辑谬误的分析：谬误原因“推类之难，说在名之大小”，“狂举不可以知异”，对“悖”的类推分析“言尽悖，悖”、“非诽之悖”。</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rPr>
        <w:t>推类之难。说在</w:t>
      </w:r>
      <w:r>
        <w:rPr>
          <w:rFonts w:hint="eastAsia" w:ascii="楷体" w:hAnsi="楷体" w:eastAsia="楷体" w:cs="楷体"/>
          <w:sz w:val="24"/>
          <w:szCs w:val="24"/>
          <w:lang w:eastAsia="zh-CN"/>
        </w:rPr>
        <w:t>名</w:t>
      </w:r>
      <w:r>
        <w:rPr>
          <w:rFonts w:hint="eastAsia" w:ascii="楷体" w:hAnsi="楷体" w:eastAsia="楷体" w:cs="楷体"/>
          <w:sz w:val="24"/>
          <w:szCs w:val="24"/>
        </w:rPr>
        <w:t>之大小。五行毋常胜。说在宜。</w:t>
      </w:r>
      <w:r>
        <w:rPr>
          <w:rFonts w:hint="eastAsia" w:ascii="楷体" w:hAnsi="楷体" w:eastAsia="楷体" w:cs="楷体"/>
          <w:sz w:val="24"/>
          <w:szCs w:val="24"/>
          <w:lang w:eastAsia="zh-CN"/>
        </w:rPr>
        <w:t>（《经下》）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（推）谓四足兽，牛与，马与，物不尽与，大小也。此然是必然，则俣</w:t>
      </w:r>
      <w:r>
        <w:rPr>
          <w:rStyle w:val="14"/>
          <w:rFonts w:hint="eastAsia" w:ascii="楷体" w:hAnsi="楷体" w:eastAsia="楷体" w:cs="楷体"/>
          <w:sz w:val="24"/>
          <w:szCs w:val="24"/>
          <w:highlight w:val="none"/>
          <w:lang w:eastAsia="zh-CN"/>
        </w:rPr>
        <w:footnoteReference w:id="43"/>
      </w:r>
      <w:r>
        <w:rPr>
          <w:rFonts w:hint="eastAsia" w:ascii="楷体" w:hAnsi="楷体" w:eastAsia="楷体" w:cs="楷体"/>
          <w:sz w:val="24"/>
          <w:szCs w:val="24"/>
          <w:highlight w:val="none"/>
          <w:lang w:eastAsia="zh-CN"/>
        </w:rPr>
        <w:t>。（《经说下》）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类推的复杂困难所谓在于名的大小。是说类的外延范围有大有小，超出范围，就会出现谬误。说四足兽，包括牛马，却不能包括所有四足动物，因为蛙、龟皆为四足却不属于兽类，四足动物的范围比四足兽更大，因此，如果依据四足的特征将某些四足动物比如青蛙归为四足兽的类，显然是错误的。为了避免因混淆物类概念外延大小关系而造成的逻辑错误，《墨辩》强调推类必须遵循考察的大小的原则。</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假，必悖。说在不然。（《经下》）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假必非也而后假。狗、假霍也。犹氏霍也。（《经说下》）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非真则乱，是所谓其根本不对。假，必定是不符合事实。把狗叫做霍（鹤），不符合狗的事实。</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《墨辩》中提出“名”的定义为“以名举实”。在墨家看来，“狂举”是错误的“以名举实”，违背了“正名”的原则，因为犯了“彼此不可”的错误，即“彼且此也，此且彼也”</w:t>
      </w:r>
      <w:r>
        <w:rPr>
          <w:rStyle w:val="14"/>
          <w:rFonts w:hint="eastAsia" w:ascii="宋体" w:hAnsi="宋体" w:eastAsia="宋体" w:cs="宋体"/>
          <w:sz w:val="24"/>
          <w:szCs w:val="24"/>
          <w:lang w:eastAsia="zh-CN"/>
        </w:rPr>
        <w:footnoteReference w:id="44"/>
      </w:r>
      <w:r>
        <w:rPr>
          <w:rFonts w:hint="eastAsia" w:ascii="宋体" w:hAnsi="宋体" w:eastAsia="宋体" w:cs="宋体"/>
          <w:sz w:val="24"/>
          <w:szCs w:val="24"/>
          <w:lang w:eastAsia="zh-CN"/>
        </w:rPr>
        <w:t>，不能正确地区分物类。</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狂举，不可以知异。说在有不可。（《经下》）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牛与马惟异,以牛有齿,马有尾,说牛之非马也不可。是俱有,不偏有偏无有。曰：“牛与马不类,用牛有角,马无角,是类不同也。”若举牛有角,马无角,以是为类之不同也,是狂举也。犹牛有齿，马有尾。（《经说下》）</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这是说，举证不当就不可以知道本质的不同，是所谓不可妄言。以牛有牙齿,马有尾巴作为区分牛和马不是同类的依据,这是错误的。这是因为牛与马都有牙齿和尾巴,不能以双方共有的属性来作为辨别的依据，这种属性不符合“偏有偏无有”</w:t>
      </w:r>
      <w:r>
        <w:rPr>
          <w:rStyle w:val="14"/>
          <w:rFonts w:hint="eastAsia" w:ascii="宋体" w:hAnsi="宋体" w:eastAsia="宋体" w:cs="宋体"/>
          <w:sz w:val="24"/>
          <w:szCs w:val="24"/>
          <w:lang w:eastAsia="zh-CN"/>
        </w:rPr>
        <w:footnoteReference w:id="45"/>
      </w:r>
      <w:r>
        <w:rPr>
          <w:rFonts w:hint="eastAsia" w:ascii="宋体" w:hAnsi="宋体" w:eastAsia="宋体" w:cs="宋体"/>
          <w:sz w:val="24"/>
          <w:szCs w:val="24"/>
          <w:lang w:eastAsia="zh-CN"/>
        </w:rPr>
        <w:t>的要求。相同地，若以牛有角,马无角为根据,来说明牛、马不同类,也是错误的。这是狂举。狂举就不能认识事物的差别。</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lang w:eastAsia="zh-CN"/>
        </w:rPr>
        <w:t>以言为尽悖，悖。说在其言。（《经下》）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悖，不可也。之人之言可，是不悖，则是有可也；之人之言不可，以当必不审。（《经说下》）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highlight w:val="none"/>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尽，“莫不然也”（《经上》）</w:t>
      </w:r>
      <w:r>
        <w:rPr>
          <w:rStyle w:val="14"/>
          <w:rFonts w:hint="eastAsia" w:ascii="宋体" w:hAnsi="宋体" w:eastAsia="宋体" w:cs="宋体"/>
          <w:sz w:val="24"/>
          <w:szCs w:val="24"/>
          <w:lang w:eastAsia="zh-CN"/>
        </w:rPr>
        <w:footnoteReference w:id="46"/>
      </w:r>
      <w:r>
        <w:rPr>
          <w:rFonts w:hint="eastAsia" w:ascii="宋体" w:hAnsi="宋体" w:eastAsia="宋体" w:cs="宋体"/>
          <w:sz w:val="24"/>
          <w:szCs w:val="24"/>
          <w:lang w:eastAsia="zh-CN"/>
        </w:rPr>
        <w:t>，“言为尽悖”意为“没有言不是荒谬的”，所以墨家对“悖”的类推分析：</w:t>
      </w:r>
      <w:r>
        <w:rPr>
          <w:rFonts w:hint="eastAsia" w:ascii="宋体" w:hAnsi="宋体" w:eastAsia="宋体" w:cs="宋体"/>
          <w:sz w:val="24"/>
          <w:szCs w:val="24"/>
        </w:rPr>
        <w:t>“言尽悖，悖”</w:t>
      </w:r>
      <w:r>
        <w:rPr>
          <w:rFonts w:hint="eastAsia" w:ascii="宋体" w:hAnsi="宋体" w:eastAsia="宋体" w:cs="宋体"/>
          <w:sz w:val="24"/>
          <w:szCs w:val="24"/>
          <w:lang w:eastAsia="zh-CN"/>
        </w:rPr>
        <w:t>，即若“言为尽悖”，则“言尽悖”亦悖，因为这（言尽悖）也是一言</w:t>
      </w:r>
      <w:r>
        <w:rPr>
          <w:rFonts w:hint="eastAsia" w:ascii="宋体" w:hAnsi="宋体" w:eastAsia="宋体" w:cs="宋体"/>
          <w:sz w:val="24"/>
          <w:szCs w:val="24"/>
          <w:lang w:val="en-US" w:eastAsia="zh-CN"/>
        </w:rPr>
        <w:t>，因此就构成矛盾，出现了谬误。这</w:t>
      </w:r>
      <w:r>
        <w:rPr>
          <w:rFonts w:hint="eastAsia" w:ascii="宋体" w:hAnsi="宋体" w:eastAsia="宋体" w:cs="宋体"/>
          <w:sz w:val="24"/>
          <w:szCs w:val="24"/>
          <w:lang w:eastAsia="zh-CN"/>
        </w:rPr>
        <w:t>是由一般（普遍）到个别（特殊）的推论。</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诽之可否，不以众寡，说在可非。（《经下》）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论非诽之可不可以理。之可诽，虽多诽，其诽是也。其理不可非，虽少诽，非也。今也谓多诽者不可，是犹以长论短。（《经说下》）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right="420" w:right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这是说，“诽之可否”不在于支持赞同的人多或少，如果有可批评之处，那么我们就可以“诽”。判断“诽”的可与不可要有一定的标准，并以之作为区分“其诽是”或“非”的根据。“诽”指批评，能不能对某人某事某言进行批评在于其是否符合道理。如果将欲批评的某事某言可以批评，“虽多诽，其诽是也”即使批评很多，这批评也仍然是对的。如果对方的道理正确，不可以批评，哪怕我方只批评很少，也是不对的。</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非诽者悖。说在弗非。（《经下》）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420" w:rightChars="200" w:firstLine="480" w:firstLineChars="200"/>
        <w:jc w:val="both"/>
        <w:textAlignment w:val="auto"/>
        <w:outlineLvl w:val="9"/>
        <w:rPr>
          <w:rFonts w:hint="eastAsia" w:ascii="楷体" w:hAnsi="楷体" w:eastAsia="楷体" w:cs="楷体"/>
          <w:sz w:val="24"/>
          <w:szCs w:val="24"/>
          <w:lang w:eastAsia="zh-CN"/>
        </w:rPr>
      </w:pPr>
      <w:r>
        <w:rPr>
          <w:rFonts w:hint="eastAsia" w:ascii="楷体" w:hAnsi="楷体" w:eastAsia="楷体" w:cs="楷体"/>
          <w:sz w:val="24"/>
          <w:szCs w:val="24"/>
          <w:highlight w:val="none"/>
          <w:lang w:eastAsia="zh-CN"/>
        </w:rPr>
        <w:t>非诽，己之诽也</w:t>
      </w:r>
      <w:r>
        <w:rPr>
          <w:rFonts w:hint="eastAsia" w:ascii="楷体" w:hAnsi="楷体" w:eastAsia="楷体" w:cs="楷体"/>
          <w:sz w:val="24"/>
          <w:szCs w:val="24"/>
          <w:highlight w:val="none"/>
        </w:rPr>
        <w:t>不非</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诽。非可非也，不可非也。是</w:t>
      </w:r>
      <w:r>
        <w:rPr>
          <w:rFonts w:hint="eastAsia" w:ascii="楷体" w:hAnsi="楷体" w:eastAsia="楷体" w:cs="楷体"/>
          <w:sz w:val="24"/>
          <w:szCs w:val="24"/>
        </w:rPr>
        <w:t>不非诽也。</w:t>
      </w:r>
      <w:r>
        <w:rPr>
          <w:rFonts w:hint="eastAsia" w:ascii="楷体" w:hAnsi="楷体" w:eastAsia="楷体" w:cs="楷体"/>
          <w:sz w:val="24"/>
          <w:szCs w:val="24"/>
          <w:lang w:eastAsia="zh-CN"/>
        </w:rPr>
        <w:t>（《经说下》）</w:t>
      </w:r>
    </w:p>
    <w:p>
      <w:pPr>
        <w:keepNext w:val="0"/>
        <w:keepLines w:val="0"/>
        <w:pageBreakBefore w:val="0"/>
        <w:widowControl w:val="0"/>
        <w:kinsoku/>
        <w:wordWrap/>
        <w:overflowPunct/>
        <w:topLinePunct w:val="0"/>
        <w:autoSpaceDE/>
        <w:autoSpaceDN/>
        <w:bidi w:val="0"/>
        <w:adjustRightInd/>
        <w:snapToGrid/>
        <w:spacing w:line="360" w:lineRule="auto"/>
        <w:ind w:left="420" w:leftChars="200" w:right="0" w:rightChars="0" w:firstLine="420" w:firstLineChars="200"/>
        <w:jc w:val="both"/>
        <w:textAlignment w:val="auto"/>
        <w:outlineLvl w:val="9"/>
        <w:rPr>
          <w:rFonts w:hint="eastAsia" w:ascii="楷体" w:hAnsi="楷体" w:eastAsia="楷体" w:cs="楷体"/>
          <w:sz w:val="24"/>
          <w:szCs w:val="24"/>
          <w:lang w:eastAsia="zh-CN"/>
        </w:rPr>
      </w:pP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rPr>
          <w:rFonts w:hint="eastAsia" w:eastAsiaTheme="minorEastAsia"/>
          <w:sz w:val="24"/>
          <w:szCs w:val="24"/>
          <w:lang w:eastAsia="zh-CN"/>
        </w:rPr>
      </w:pPr>
      <w:r>
        <w:rPr>
          <w:rFonts w:hint="eastAsia" w:ascii="宋体" w:hAnsi="宋体" w:eastAsia="宋体" w:cs="宋体"/>
          <w:sz w:val="24"/>
          <w:szCs w:val="24"/>
          <w:lang w:eastAsia="zh-CN"/>
        </w:rPr>
        <w:t>“非诽”指否定批评，</w:t>
      </w:r>
      <w:r>
        <w:rPr>
          <w:rFonts w:hint="eastAsia" w:ascii="宋体" w:hAnsi="宋体" w:eastAsia="宋体" w:cs="宋体"/>
          <w:sz w:val="24"/>
          <w:szCs w:val="24"/>
          <w:highlight w:val="none"/>
          <w:lang w:eastAsia="zh-CN"/>
        </w:rPr>
        <w:t>据信</w:t>
      </w:r>
      <w:r>
        <w:rPr>
          <w:rFonts w:hint="eastAsia" w:ascii="宋体" w:hAnsi="宋体" w:eastAsia="宋体" w:cs="宋体"/>
          <w:sz w:val="24"/>
          <w:szCs w:val="24"/>
          <w:highlight w:val="none"/>
          <w:lang w:val="en-US" w:eastAsia="zh-CN"/>
        </w:rPr>
        <w:t>是道家的主张。老庄主张无名讷言息辩，认为批评会引发争辩，而争辩并无是非标准，所以他们一般反对批评的方法。墨家认为，“非诽”本身即是一诽，这就与“非诽”构成自语相违，自相矛盾。</w:t>
      </w:r>
      <w:r>
        <w:rPr>
          <w:rFonts w:hint="eastAsia"/>
          <w:sz w:val="24"/>
          <w:szCs w:val="24"/>
          <w:lang w:eastAsia="zh-CN"/>
        </w:rPr>
        <w:t>因此，判断“诽”要有一定的标准，并以之作为区分“其诽是”或“非”的根据。如果主张“不诽”，那么你自己的“诽”也就不对了，因此我们不能反对“诽”。</w:t>
      </w:r>
    </w:p>
    <w:p>
      <w:pPr>
        <w:keepNext w:val="0"/>
        <w:keepLines w:val="0"/>
        <w:pageBreakBefore w:val="0"/>
        <w:widowControl w:val="0"/>
        <w:kinsoku/>
        <w:wordWrap/>
        <w:overflowPunct/>
        <w:topLinePunct w:val="0"/>
        <w:autoSpaceDE/>
        <w:autoSpaceDN/>
        <w:bidi w:val="0"/>
        <w:adjustRightInd/>
        <w:spacing w:line="360" w:lineRule="auto"/>
        <w:ind w:right="0" w:rightChars="0"/>
        <w:textAlignment w:val="auto"/>
      </w:pPr>
    </w:p>
    <w:p>
      <w:pPr>
        <w:keepNext w:val="0"/>
        <w:keepLines w:val="0"/>
        <w:pageBreakBefore w:val="0"/>
        <w:widowControl w:val="0"/>
        <w:numPr>
          <w:ilvl w:val="0"/>
          <w:numId w:val="6"/>
        </w:numPr>
        <w:kinsoku/>
        <w:wordWrap/>
        <w:overflowPunct/>
        <w:topLinePunct w:val="0"/>
        <w:autoSpaceDE/>
        <w:autoSpaceDN/>
        <w:bidi w:val="0"/>
        <w:adjustRightInd/>
        <w:spacing w:line="360" w:lineRule="auto"/>
        <w:ind w:right="0" w:rightChars="0"/>
        <w:jc w:val="center"/>
        <w:textAlignment w:val="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t>结语——中国古代推类逻辑思想的形成</w:t>
      </w:r>
    </w:p>
    <w:p>
      <w:pPr>
        <w:keepNext w:val="0"/>
        <w:keepLines w:val="0"/>
        <w:pageBreakBefore w:val="0"/>
        <w:widowControl w:val="0"/>
        <w:numPr>
          <w:ilvl w:val="0"/>
          <w:numId w:val="0"/>
        </w:numPr>
        <w:kinsoku/>
        <w:wordWrap/>
        <w:overflowPunct/>
        <w:topLinePunct w:val="0"/>
        <w:autoSpaceDE/>
        <w:autoSpaceDN/>
        <w:bidi w:val="0"/>
        <w:adjustRightInd/>
        <w:spacing w:line="360" w:lineRule="auto"/>
        <w:ind w:right="0" w:rightChars="0"/>
        <w:jc w:val="both"/>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在现存的文献当中，“推类”最早出现在“推类之难，说在（名）之大小。”（《墨子·经下》）其后也在其他古代文献中多有出现，如《淮南子·氾论训》：“总形推类而为之变象。”王充《论衡·实知》：“凡圣人见祸福也，亦揆端推类，原始见终。”刘培育先生认为，可以将名辩学的“推理”称为“推类”，他说：“古代名辩学的推理是在类的基础上进行的，所以又称为推类。”</w:t>
      </w:r>
      <w:r>
        <w:rPr>
          <w:rStyle w:val="14"/>
          <w:rFonts w:hint="eastAsia" w:ascii="宋体" w:hAnsi="宋体" w:eastAsia="宋体" w:cs="宋体"/>
          <w:sz w:val="24"/>
          <w:szCs w:val="24"/>
          <w:lang w:eastAsia="zh-CN"/>
        </w:rPr>
        <w:footnoteReference w:id="47"/>
      </w:r>
      <w:r>
        <w:rPr>
          <w:rFonts w:hint="eastAsia" w:ascii="宋体" w:hAnsi="宋体" w:eastAsia="宋体" w:cs="宋体"/>
          <w:sz w:val="24"/>
          <w:szCs w:val="24"/>
          <w:lang w:eastAsia="zh-CN"/>
        </w:rPr>
        <w:t>也有学者认为推类是中国古代逻辑的主导推理类型，是一种</w:t>
      </w:r>
      <w:r>
        <w:rPr>
          <w:rFonts w:hint="eastAsia" w:ascii="宋体" w:hAnsi="宋体" w:eastAsia="宋体" w:cs="宋体"/>
          <w:sz w:val="24"/>
          <w:szCs w:val="24"/>
        </w:rPr>
        <w:t>依照类的同、异关系进行的推论。</w:t>
      </w:r>
      <w:r>
        <w:rPr>
          <w:rStyle w:val="14"/>
          <w:rFonts w:hint="eastAsia" w:ascii="宋体" w:hAnsi="宋体" w:eastAsia="宋体" w:cs="宋体"/>
          <w:sz w:val="24"/>
          <w:szCs w:val="24"/>
        </w:rPr>
        <w:footnoteReference w:id="48"/>
      </w:r>
      <w:r>
        <w:rPr>
          <w:rFonts w:hint="eastAsia" w:ascii="宋体" w:hAnsi="宋体" w:eastAsia="宋体" w:cs="宋体"/>
          <w:sz w:val="24"/>
          <w:szCs w:val="24"/>
          <w:lang w:eastAsia="zh-CN"/>
        </w:rPr>
        <w:t>中国传统推论，以“类”为基础，以类比、归纳、演绎不同形式的朴素结合为鲜明特色，所以在笔者看来，“推类”就是对这一具有鲜明民族特色的推理理论的确切名称。“类”观念经过酝酿时期，其含义从个别到特殊再到一般</w:t>
      </w:r>
      <w:r>
        <w:rPr>
          <w:rStyle w:val="14"/>
          <w:rFonts w:hint="eastAsia" w:ascii="宋体" w:hAnsi="宋体" w:eastAsia="宋体" w:cs="宋体"/>
          <w:sz w:val="24"/>
          <w:szCs w:val="24"/>
          <w:lang w:eastAsia="zh-CN"/>
        </w:rPr>
        <w:footnoteReference w:id="49"/>
      </w:r>
      <w:r>
        <w:rPr>
          <w:rFonts w:hint="eastAsia" w:ascii="宋体" w:hAnsi="宋体" w:eastAsia="宋体" w:cs="宋体"/>
          <w:sz w:val="24"/>
          <w:szCs w:val="24"/>
          <w:lang w:eastAsia="zh-CN"/>
        </w:rPr>
        <w:t>，演变为具有明确逻辑含义的基本概念。先秦时期的思想家们，对推类思想进行了广泛的探索与实践，对于推类的目的、推类的定义、推类的方法、推</w:t>
      </w:r>
      <w:r>
        <w:rPr>
          <w:rFonts w:hint="eastAsia" w:ascii="宋体" w:hAnsi="宋体" w:eastAsia="宋体" w:cs="宋体"/>
          <w:sz w:val="24"/>
          <w:szCs w:val="24"/>
          <w:highlight w:val="none"/>
          <w:lang w:eastAsia="zh-CN"/>
        </w:rPr>
        <w:t>类的法则（类、故、理）、推类的意义和推类的谬误，以及与推类有关的名、辞、说等逻辑范畴都进行了讨论和研究，形成了有关推类的理论，也就是形成了推类逻辑</w:t>
      </w:r>
      <w:r>
        <w:rPr>
          <w:rStyle w:val="14"/>
          <w:rFonts w:hint="eastAsia" w:ascii="宋体" w:hAnsi="宋体" w:eastAsia="宋体" w:cs="宋体"/>
          <w:sz w:val="24"/>
          <w:szCs w:val="24"/>
          <w:highlight w:val="none"/>
          <w:lang w:eastAsia="zh-CN"/>
        </w:rPr>
        <w:footnoteReference w:id="50"/>
      </w:r>
      <w:r>
        <w:rPr>
          <w:rFonts w:hint="eastAsia" w:ascii="宋体" w:hAnsi="宋体" w:eastAsia="宋体" w:cs="宋体"/>
          <w:sz w:val="24"/>
          <w:szCs w:val="24"/>
          <w:highlight w:val="none"/>
          <w:lang w:eastAsia="zh-CN"/>
        </w:rPr>
        <w:t>思想。</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孔子言“能近取譬”、“举一反三”等有关道德伦理和教育的方法就是以“类”为基础的，且已经具有从已知到未知的推论意识，但是孔子没有将“类”进一步抽象，没有对其思维方法的逻辑内容做出明确的理论阐释，也没有严格固定的推论方法。墨子比孔子进步的地方，就是他将“类”作为一个独立、固定的对象来研究，并在理论上深入阐释，提出思想论证的“察类”和“明故”的逻辑意识与要求，探讨了“类”和“故”的关系，还将推类作为有力的思想论证方法在论辩中普遍运用。孟子倡“举相似也”、“善推其所为”，进一步发展了“类”范畴和以之为基础的论辩方法。但是孟子的思想还不够成熟完善，在比附方法的应用中出现了“无类”的谬误。荀子道“推而共之”、“推而别之”继承并发展了墨家的“类”概念，揭示了事物类属联系的逻辑特性，提出根据类的包含关系进行推理，对推类逻辑思想的发展做出了重要贡献。中国古代逻辑思维在墨子及后期墨家这里发展到了一个新阶段。“墨子有‘察类’、‘明故’之说，后期墨家则有辞‘以类行’、‘推类之难’等等的讨论，就是证明，对于先秦时期的推类研究，墨家，尤其是后期墨家所获成绩最为突出。后期墨家在总结先秦时期推类应用的实践及相关研究成果的基础上，对推类作了全面的总结，提出了相对系统的推类学说。”</w:t>
      </w:r>
      <w:r>
        <w:rPr>
          <w:rStyle w:val="14"/>
          <w:rFonts w:hint="eastAsia" w:ascii="宋体" w:hAnsi="宋体" w:eastAsia="宋体" w:cs="宋体"/>
          <w:sz w:val="24"/>
          <w:szCs w:val="24"/>
          <w:lang w:eastAsia="zh-CN"/>
        </w:rPr>
        <w:footnoteReference w:id="51"/>
      </w:r>
      <w:r>
        <w:rPr>
          <w:rFonts w:hint="eastAsia" w:ascii="宋体" w:hAnsi="宋体" w:eastAsia="宋体" w:cs="宋体"/>
          <w:sz w:val="24"/>
          <w:szCs w:val="24"/>
          <w:lang w:eastAsia="zh-CN"/>
        </w:rPr>
        <w:t>这种推类学说不同于亚里士多德的三段论推理和培根的归纳推理，自身具有鲜明的特色。它不仅总结和发扬了墨子丰富的辩学思想和辩学方法，还汲取了孔子以来的正名思想。后期墨家提出的，以类范畴为基础，以“达理”为目的，以“类同”为推理依据，以“以类为推”、“异类不比”和察类大小为基本原则</w:t>
      </w:r>
      <w:r>
        <w:rPr>
          <w:rStyle w:val="14"/>
          <w:rFonts w:hint="eastAsia" w:ascii="宋体" w:hAnsi="宋体" w:eastAsia="宋体" w:cs="宋体"/>
          <w:sz w:val="24"/>
          <w:szCs w:val="24"/>
          <w:lang w:eastAsia="zh-CN"/>
        </w:rPr>
        <w:footnoteReference w:id="52"/>
      </w:r>
      <w:r>
        <w:rPr>
          <w:rFonts w:hint="eastAsia" w:ascii="宋体" w:hAnsi="宋体" w:eastAsia="宋体" w:cs="宋体"/>
          <w:sz w:val="24"/>
          <w:szCs w:val="24"/>
          <w:lang w:eastAsia="zh-CN"/>
        </w:rPr>
        <w:t>，以“或”、“假”、“效”、“辟”、“侔”、“援”、“推”、“止”等为具体论式的推类逻辑思想，经由《经上》、《经下》到《经说上》、《经说下》，再到《大取》和《小取》篇，得到了系统的研究和完整的总结，使《墨辩》立辞三物逻辑得以确立，也标志着中国古代推类逻辑思想的最终形成与定型。</w:t>
      </w: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4"/>
          <w:szCs w:val="24"/>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4"/>
          <w:szCs w:val="24"/>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黑体" w:hAnsi="黑体" w:eastAsia="黑体" w:cs="黑体"/>
          <w:b/>
          <w:bCs/>
          <w:sz w:val="28"/>
          <w:szCs w:val="28"/>
          <w:lang w:eastAsia="zh-CN"/>
        </w:rPr>
      </w:pPr>
      <w:r>
        <w:rPr>
          <w:rFonts w:hint="eastAsia" w:ascii="黑体" w:hAnsi="黑体" w:eastAsia="黑体" w:cs="黑体"/>
          <w:b/>
          <w:bCs/>
          <w:sz w:val="28"/>
          <w:szCs w:val="28"/>
          <w:lang w:eastAsia="zh-CN"/>
        </w:rPr>
        <w:t>参考文献：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古籍：《尔雅》《广雅》《国语》《淮南子》《礼记》《论语》《墨子》《孟子》《山海经》《尚书》《诗经》《说文解字》《荀子》《左传》《周礼》《周易》等。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崔清田，</w:t>
      </w:r>
      <w:r>
        <w:rPr>
          <w:rFonts w:hint="eastAsia" w:ascii="宋体" w:hAnsi="宋体" w:eastAsia="宋体" w:cs="宋体"/>
          <w:sz w:val="21"/>
          <w:szCs w:val="21"/>
          <w:highlight w:val="none"/>
        </w:rPr>
        <w:t>2003年</w:t>
      </w:r>
      <w:r>
        <w:rPr>
          <w:rFonts w:hint="eastAsia" w:ascii="宋体" w:hAnsi="宋体" w:eastAsia="宋体" w:cs="宋体"/>
          <w:sz w:val="21"/>
          <w:szCs w:val="21"/>
          <w:highlight w:val="none"/>
          <w:lang w:eastAsia="zh-CN"/>
        </w:rPr>
        <w:t>：</w:t>
      </w:r>
      <w:r>
        <w:rPr>
          <w:rFonts w:hint="eastAsia" w:ascii="宋体" w:hAnsi="宋体" w:eastAsia="宋体" w:cs="宋体"/>
          <w:sz w:val="21"/>
          <w:szCs w:val="21"/>
          <w:lang w:eastAsia="zh-CN"/>
        </w:rPr>
        <w:t>《中国逻辑的推类》，</w:t>
      </w:r>
      <w:r>
        <w:rPr>
          <w:rFonts w:hint="eastAsia" w:ascii="宋体" w:hAnsi="宋体" w:eastAsia="宋体" w:cs="宋体"/>
          <w:sz w:val="21"/>
          <w:szCs w:val="21"/>
        </w:rPr>
        <w:t>《哲学与文化——中国逻辑专题》</w:t>
      </w:r>
      <w:r>
        <w:rPr>
          <w:rFonts w:hint="eastAsia" w:ascii="宋体" w:hAnsi="宋体" w:eastAsia="宋体" w:cs="宋体"/>
          <w:sz w:val="21"/>
          <w:szCs w:val="21"/>
          <w:lang w:eastAsia="zh-CN"/>
        </w:rPr>
        <w:t>，哲学与文化月刊杂志社。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黑格尔，1981年：《哲学史讲演录》第1卷，商务印书馆。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侯外庐等主编，1957年：《中国思想通史》第1卷，人民出版社。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李匡武、杨沛荪主编，1991年：《中国逻辑史资料选》先秦卷，甘肃人民出版社。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罗炳良、胡喜云，2007年：《墨子解说》，华夏出版社。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刘明明，</w:t>
      </w:r>
      <w:r>
        <w:rPr>
          <w:rFonts w:hint="eastAsia" w:ascii="宋体" w:hAnsi="宋体" w:eastAsia="宋体" w:cs="宋体"/>
          <w:sz w:val="21"/>
          <w:szCs w:val="21"/>
          <w:lang w:val="en-US" w:eastAsia="zh-CN"/>
        </w:rPr>
        <w:t>2012年：《中国古代推类逻辑研究》，北京师范大学出版社。</w:t>
      </w:r>
    </w:p>
    <w:p>
      <w:pPr>
        <w:keepNext w:val="0"/>
        <w:keepLines w:val="0"/>
        <w:pageBreakBefore w:val="0"/>
        <w:widowControl w:val="0"/>
        <w:kinsoku/>
        <w:wordWrap/>
        <w:overflowPunct/>
        <w:topLinePunct w:val="0"/>
        <w:autoSpaceDE/>
        <w:autoSpaceDN/>
        <w:bidi w:val="0"/>
        <w:adjustRightInd/>
        <w:spacing w:line="360" w:lineRule="auto"/>
        <w:ind w:left="0" w:leftChars="0" w:right="0" w:rightChars="0" w:firstLine="360" w:firstLineChars="200"/>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马克思、恩格斯，1972年：《马克思恩格斯全集》第3卷，中共中央马克思恩格斯列宁斯大林著作编译局，译，人民出版社。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eastAsia="zh-CN"/>
        </w:rPr>
        <w:t>孙中原，</w:t>
      </w:r>
      <w:r>
        <w:rPr>
          <w:rFonts w:hint="eastAsia" w:ascii="宋体" w:hAnsi="宋体" w:eastAsia="宋体" w:cs="宋体"/>
          <w:sz w:val="21"/>
          <w:szCs w:val="21"/>
          <w:lang w:val="en-US" w:eastAsia="zh-CN"/>
        </w:rPr>
        <w:t>2003年</w:t>
      </w:r>
      <w:r>
        <w:rPr>
          <w:rFonts w:hint="eastAsia" w:ascii="宋体" w:hAnsi="宋体" w:eastAsia="宋体" w:cs="宋体"/>
          <w:sz w:val="21"/>
          <w:szCs w:val="21"/>
          <w:lang w:eastAsia="zh-CN"/>
        </w:rPr>
        <w:t>：《论中国逻辑研究》，《哲学与文化——中国逻辑专题》，哲学与文化月刊杂志社</w:t>
      </w:r>
      <w:r>
        <w:rPr>
          <w:rFonts w:hint="eastAsia" w:ascii="宋体" w:hAnsi="宋体" w:eastAsia="宋体" w:cs="宋体"/>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沈有鼎，</w:t>
      </w:r>
      <w:r>
        <w:rPr>
          <w:rFonts w:hint="eastAsia" w:ascii="宋体" w:hAnsi="宋体" w:eastAsia="宋体" w:cs="宋体"/>
          <w:sz w:val="21"/>
          <w:szCs w:val="21"/>
          <w:lang w:val="en-US" w:eastAsia="zh-CN"/>
        </w:rPr>
        <w:t>1982年</w:t>
      </w:r>
      <w:r>
        <w:rPr>
          <w:rFonts w:hint="eastAsia" w:ascii="宋体" w:hAnsi="宋体" w:eastAsia="宋体" w:cs="宋体"/>
          <w:sz w:val="21"/>
          <w:szCs w:val="21"/>
          <w:lang w:eastAsia="zh-CN"/>
        </w:rPr>
        <w:t>：《墨经的逻辑学》，中国社会科学出版社。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汪奠基，</w:t>
      </w:r>
      <w:r>
        <w:rPr>
          <w:rFonts w:hint="eastAsia" w:ascii="宋体" w:hAnsi="宋体" w:eastAsia="宋体" w:cs="宋体"/>
          <w:sz w:val="21"/>
          <w:szCs w:val="21"/>
          <w:lang w:val="en-US" w:eastAsia="zh-CN"/>
        </w:rPr>
        <w:t>1979年</w:t>
      </w:r>
      <w:r>
        <w:rPr>
          <w:rFonts w:hint="eastAsia" w:ascii="宋体" w:hAnsi="宋体" w:eastAsia="宋体" w:cs="宋体"/>
          <w:sz w:val="21"/>
          <w:szCs w:val="21"/>
          <w:lang w:eastAsia="zh-CN"/>
        </w:rPr>
        <w:t>：《中国逻辑思想史》，上海人民出版社。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温公颐、崔清田主编，2012年：《中国逻辑史教程》，南开大学出版社。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杨沛荪主编，</w:t>
      </w:r>
      <w:r>
        <w:rPr>
          <w:rFonts w:hint="eastAsia" w:ascii="宋体" w:hAnsi="宋体" w:eastAsia="宋体" w:cs="宋体"/>
          <w:sz w:val="21"/>
          <w:szCs w:val="21"/>
          <w:lang w:val="en-US" w:eastAsia="zh-CN"/>
        </w:rPr>
        <w:t>1988年</w:t>
      </w:r>
      <w:r>
        <w:rPr>
          <w:rFonts w:hint="eastAsia" w:ascii="宋体" w:hAnsi="宋体" w:eastAsia="宋体" w:cs="宋体"/>
          <w:sz w:val="21"/>
          <w:szCs w:val="21"/>
          <w:lang w:eastAsia="zh-CN"/>
        </w:rPr>
        <w:t>：《中国逻辑思想史教程》，甘肃人民出版社。</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杨伯峻，</w:t>
      </w:r>
      <w:r>
        <w:rPr>
          <w:rFonts w:hint="eastAsia" w:ascii="宋体" w:hAnsi="宋体" w:eastAsia="宋体" w:cs="宋体"/>
          <w:sz w:val="21"/>
          <w:szCs w:val="21"/>
          <w:lang w:val="en-US" w:eastAsia="zh-CN"/>
        </w:rPr>
        <w:t>2008年：</w:t>
      </w:r>
      <w:r>
        <w:rPr>
          <w:rFonts w:hint="eastAsia" w:ascii="宋体" w:hAnsi="宋体" w:eastAsia="宋体" w:cs="宋体"/>
          <w:sz w:val="21"/>
          <w:szCs w:val="21"/>
          <w:lang w:eastAsia="zh-CN"/>
        </w:rPr>
        <w:t>《孟子译注》上，第</w:t>
      </w:r>
      <w:r>
        <w:rPr>
          <w:rFonts w:hint="eastAsia" w:ascii="宋体" w:hAnsi="宋体" w:eastAsia="宋体" w:cs="宋体"/>
          <w:sz w:val="21"/>
          <w:szCs w:val="21"/>
          <w:lang w:val="en-US" w:eastAsia="zh-CN"/>
        </w:rPr>
        <w:t>96页，中华书局。</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360" w:firstLineChars="200"/>
        <w:jc w:val="both"/>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袁愈荌、唐莫尧，</w:t>
      </w:r>
      <w:r>
        <w:rPr>
          <w:rFonts w:hint="eastAsia" w:ascii="宋体" w:hAnsi="宋体" w:eastAsia="宋体" w:cs="宋体"/>
          <w:sz w:val="21"/>
          <w:szCs w:val="21"/>
          <w:lang w:val="en-US" w:eastAsia="zh-CN"/>
        </w:rPr>
        <w:t>1982年</w:t>
      </w:r>
      <w:r>
        <w:rPr>
          <w:rFonts w:hint="eastAsia" w:ascii="宋体" w:hAnsi="宋体" w:eastAsia="宋体" w:cs="宋体"/>
          <w:sz w:val="21"/>
          <w:szCs w:val="21"/>
          <w:lang w:eastAsia="zh-CN"/>
        </w:rPr>
        <w:t>：《诗经全译》，贵州人民出版社。</w:t>
      </w:r>
    </w:p>
    <w:p>
      <w:pPr>
        <w:pStyle w:val="7"/>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360" w:firstLineChars="200"/>
        <w:textAlignment w:val="auto"/>
        <w:outlineLvl w:val="9"/>
        <w:rPr>
          <w:rFonts w:hint="eastAsia" w:ascii="宋体" w:hAnsi="宋体" w:eastAsia="宋体" w:cs="宋体"/>
          <w:lang w:eastAsia="zh-CN"/>
        </w:rPr>
      </w:pPr>
    </w:p>
    <w:p>
      <w:pPr>
        <w:pStyle w:val="7"/>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360" w:firstLineChars="200"/>
        <w:textAlignment w:val="auto"/>
        <w:outlineLvl w:val="9"/>
        <w:rPr>
          <w:rFonts w:hint="eastAsia" w:ascii="宋体" w:hAnsi="宋体" w:eastAsia="宋体" w:cs="宋体"/>
          <w:lang w:eastAsia="zh-CN"/>
        </w:rPr>
      </w:pPr>
    </w:p>
    <w:p>
      <w:pPr>
        <w:pStyle w:val="7"/>
        <w:keepNext w:val="0"/>
        <w:keepLines w:val="0"/>
        <w:pageBreakBefore w:val="0"/>
        <w:widowControl w:val="0"/>
        <w:kinsoku/>
        <w:wordWrap/>
        <w:overflowPunct/>
        <w:topLinePunct w:val="0"/>
        <w:autoSpaceDE/>
        <w:autoSpaceDN/>
        <w:bidi w:val="0"/>
        <w:adjustRightInd/>
        <w:snapToGrid w:val="0"/>
        <w:spacing w:line="360" w:lineRule="auto"/>
        <w:ind w:right="0" w:rightChars="0"/>
        <w:textAlignment w:val="auto"/>
        <w:rPr>
          <w:rFonts w:hint="eastAsia" w:ascii="宋体" w:hAnsi="宋体" w:eastAsia="宋体" w:cs="宋体"/>
          <w:lang w:eastAsia="zh-CN"/>
        </w:rPr>
      </w:pPr>
    </w:p>
    <w:p>
      <w:pPr>
        <w:pStyle w:val="7"/>
        <w:keepNext w:val="0"/>
        <w:keepLines w:val="0"/>
        <w:pageBreakBefore w:val="0"/>
        <w:widowControl w:val="0"/>
        <w:kinsoku/>
        <w:wordWrap/>
        <w:overflowPunct/>
        <w:topLinePunct w:val="0"/>
        <w:autoSpaceDE/>
        <w:autoSpaceDN/>
        <w:bidi w:val="0"/>
        <w:adjustRightInd/>
        <w:snapToGrid w:val="0"/>
        <w:spacing w:line="360" w:lineRule="auto"/>
        <w:ind w:right="0" w:rightChars="0"/>
        <w:textAlignment w:val="auto"/>
        <w:rPr>
          <w:rFonts w:hint="eastAsia" w:ascii="宋体" w:hAnsi="宋体" w:eastAsia="宋体" w:cs="宋体"/>
          <w:lang w:val="en-US" w:eastAsia="zh-CN"/>
        </w:rPr>
      </w:pPr>
    </w:p>
    <w:p>
      <w:pPr>
        <w:pStyle w:val="17"/>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sz w:val="30"/>
          <w:szCs w:val="30"/>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eastAsia="宋体" w:cs="Times New Roman"/>
          <w:sz w:val="24"/>
          <w:szCs w:val="24"/>
          <w:highlight w:val="none"/>
          <w:lang w:eastAsia="zh-CN"/>
        </w:rPr>
      </w:pPr>
    </w:p>
    <w:sectPr>
      <w:footerReference r:id="rId7" w:type="default"/>
      <w:footnotePr>
        <w:numFmt w:val="decimal"/>
        <w:numRestart w:val="eachPage"/>
      </w:footnotePr>
      <w:pgSz w:w="11906" w:h="16838"/>
      <w:pgMar w:top="2154" w:right="1814" w:bottom="2154" w:left="1814" w:header="851" w:footer="992" w:gutter="0"/>
      <w:pgNumType w:fmt="decimal"/>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MV Boli">
    <w:panose1 w:val="02000500030200090000"/>
    <w:charset w:val="00"/>
    <w:family w:val="auto"/>
    <w:pitch w:val="default"/>
    <w:sig w:usb0="00000003" w:usb1="00000000" w:usb2="00000100" w:usb3="00000000" w:csb0="00000001"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10006FF" w:usb1="4000205B" w:usb2="00000010" w:usb3="00000000" w:csb0="2000019F" w:csb1="00000000"/>
  </w:font>
  <w:font w:name="zuoyeFont_mathFont">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
    <w:altName w:val="Segoe Print"/>
    <w:panose1 w:val="00000000000000000000"/>
    <w:charset w:val="00"/>
    <w:family w:val="auto"/>
    <w:pitch w:val="default"/>
    <w:sig w:usb0="00000000" w:usb1="00000000" w:usb2="00000000" w:usb3="00000000" w:csb0="00000000" w:csb1="00000000"/>
  </w:font>
  <w:font w:name="叶根友毛笔行书2.0版">
    <w:panose1 w:val="02010601030101010101"/>
    <w:charset w:val="86"/>
    <w:family w:val="auto"/>
    <w:pitch w:val="default"/>
    <w:sig w:usb0="00000001" w:usb1="080E0000" w:usb2="00000000" w:usb3="00000000" w:csb0="00040000" w:csb1="00000000"/>
  </w:font>
  <w:font w:name="Symbol">
    <w:panose1 w:val="05050102010706020507"/>
    <w:charset w:val="00"/>
    <w:family w:val="auto"/>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auto"/>
    <w:pitch w:val="default"/>
    <w:sig w:usb0="E00002FF" w:usb1="42002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Constantia">
    <w:panose1 w:val="02030602050306030303"/>
    <w:charset w:val="00"/>
    <w:family w:val="auto"/>
    <w:pitch w:val="default"/>
    <w:sig w:usb0="A00002EF" w:usb1="4000204B" w:usb2="00000000" w:usb3="00000000" w:csb0="2000019F" w:csb1="00000000"/>
  </w:font>
  <w:font w:name="Comic Sans MS">
    <w:panose1 w:val="030F0702030302020204"/>
    <w:charset w:val="00"/>
    <w:family w:val="auto"/>
    <w:pitch w:val="default"/>
    <w:sig w:usb0="00000287" w:usb1="00000000" w:usb2="00000000" w:usb3="00000000" w:csb0="2000009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DotumChe">
    <w:panose1 w:val="020B0609000101010101"/>
    <w:charset w:val="81"/>
    <w:family w:val="auto"/>
    <w:pitch w:val="default"/>
    <w:sig w:usb0="B00002AF" w:usb1="69D77CFB" w:usb2="00000030" w:usb3="00000000" w:csb0="4008009F" w:csb1="DFD70000"/>
  </w:font>
  <w:font w:name="Gulim">
    <w:panose1 w:val="020B0600000101010101"/>
    <w:charset w:val="81"/>
    <w:family w:val="auto"/>
    <w:pitch w:val="default"/>
    <w:sig w:usb0="B00002AF" w:usb1="69D77CFB" w:usb2="00000030" w:usb3="00000000" w:csb0="4008009F" w:csb1="DFD70000"/>
  </w:font>
  <w:font w:name="_x000B__x000C_">
    <w:altName w:val="Times New Roman"/>
    <w:panose1 w:val="00000000000000000000"/>
    <w:charset w:val="00"/>
    <w:family w:val="roman"/>
    <w:pitch w:val="default"/>
    <w:sig w:usb0="00000000" w:usb1="00000000" w:usb2="00000000"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Arial Black">
    <w:panose1 w:val="020B0A04020102020204"/>
    <w:charset w:val="00"/>
    <w:family w:val="swiss"/>
    <w:pitch w:val="default"/>
    <w:sig w:usb0="00000287" w:usb1="00000000" w:usb2="00000000" w:usb3="00000000" w:csb0="2000009F" w:csb1="DFD7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w:pict>
        <v:shape id="_x0000_s2051" o:spid="_x0000_s2051" o:spt="202" type="#_x0000_t202" style="position:absolute;left:0pt;margin-top:0pt;height:144pt;width:87.6pt;mso-position-horizontal:center;mso-position-horizontal-relative:margin;z-index:251661312;mso-width-relative:page;mso-height-relative:page;" filled="f" stroked="f" coordsize="21600,21600">
          <v:path/>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32</w:t>
                </w:r>
                <w:r>
                  <w:rPr>
                    <w:rFonts w:hint="eastAsia"/>
                    <w:sz w:val="18"/>
                    <w:lang w:eastAsia="zh-CN"/>
                  </w:rPr>
                  <w:fldChar w:fldCharType="end"/>
                </w:r>
                <w:r>
                  <w:rPr>
                    <w:rFonts w:hint="eastAsia"/>
                    <w:sz w:val="18"/>
                    <w:lang w:eastAsia="zh-CN"/>
                  </w:rPr>
                  <w:t xml:space="preserve"> 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孔子设私学传授其学说。墨子将“谈辩”作为墨家的首要任务，《墨子·耕柱》云：“能谈辩者谈辩，能说书者说书，能从事者从事，然后义事成也。”孟子虽说是不得已而为之，但仍表现出十分重视论辩，“外人皆称夫子好辩”（《孟子·滕文公下》）。在当时，聚徒讲学成为一种社会风气，诸子“率其群徒，辩其谈说。”（《荀子·儒效》）</w:t>
      </w:r>
    </w:p>
  </w:footnote>
  <w:footnote w:id="1">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“推类”这一称谓是由墨子和</w:t>
      </w:r>
      <w:r>
        <w:rPr>
          <w:rFonts w:hint="eastAsia" w:asciiTheme="minorEastAsia" w:hAnsiTheme="minorEastAsia" w:eastAsiaTheme="minorEastAsia" w:cstheme="minorEastAsia"/>
          <w:lang w:eastAsia="zh-CN"/>
        </w:rPr>
        <w:t>后期</w:t>
      </w:r>
      <w:r>
        <w:rPr>
          <w:rFonts w:hint="eastAsia" w:asciiTheme="minorEastAsia" w:hAnsiTheme="minorEastAsia" w:eastAsiaTheme="minorEastAsia" w:cstheme="minorEastAsia"/>
        </w:rPr>
        <w:t>墨家学派在丰富的</w:t>
      </w:r>
      <w:r>
        <w:rPr>
          <w:rFonts w:hint="eastAsia" w:asciiTheme="minorEastAsia" w:hAnsiTheme="minorEastAsia" w:eastAsiaTheme="minorEastAsia" w:cstheme="minorEastAsia"/>
          <w:lang w:eastAsia="zh-CN"/>
        </w:rPr>
        <w:t>辩学</w:t>
      </w:r>
      <w:r>
        <w:rPr>
          <w:rFonts w:hint="eastAsia" w:asciiTheme="minorEastAsia" w:hAnsiTheme="minorEastAsia" w:eastAsiaTheme="minorEastAsia" w:cstheme="minorEastAsia"/>
        </w:rPr>
        <w:t>实践基础上提出</w:t>
      </w:r>
      <w:r>
        <w:rPr>
          <w:rFonts w:hint="eastAsia" w:asciiTheme="minorEastAsia" w:hAnsiTheme="minorEastAsia" w:eastAsiaTheme="minorEastAsia" w:cstheme="minorEastAsia"/>
          <w:lang w:eastAsia="zh-CN"/>
        </w:rPr>
        <w:t>的，《墨辩·经下》云：“推类之难，说在名之大小。”先秦诸子的论辩十分重视推论，这种推论又以事物、现象间的类同、类异关系为依据，因此，先秦时期多以“推类”或“类推”称谓推论。一般地说，推类与类推可视为等同的概念。古代文献中没有对“推类”和“类推”做明确区分，据孙中原先生考证，“推类”也被后世许多学者变通地说成“类推”。《墨辩》对“推”的阐释：“在诸其所然未者然，说在于是推之。”对“类”的具体阐释和“推类”的完整定义于正文中展开，兹不赘述。</w:t>
      </w:r>
    </w:p>
  </w:footnote>
  <w:footnote w:id="2">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孙中原：《论中国逻辑研究》，《哲学与文化——中国逻辑专题》台北：哲学与文化月刊杂志社，</w:t>
      </w:r>
      <w:r>
        <w:rPr>
          <w:rFonts w:hint="eastAsia" w:asciiTheme="minorEastAsia" w:hAnsiTheme="minorEastAsia" w:eastAsiaTheme="minorEastAsia" w:cstheme="minorEastAsia"/>
          <w:highlight w:val="none"/>
          <w:lang w:val="en-US" w:eastAsia="zh-CN"/>
        </w:rPr>
        <w:t>200</w:t>
      </w:r>
      <w:r>
        <w:rPr>
          <w:rFonts w:hint="eastAsia" w:asciiTheme="minorEastAsia" w:hAnsiTheme="minorEastAsia" w:eastAsiaTheme="minorEastAsia" w:cstheme="minorEastAsia"/>
          <w:lang w:val="en-US" w:eastAsia="zh-CN"/>
        </w:rPr>
        <w:t>3年，</w:t>
      </w:r>
      <w:r>
        <w:rPr>
          <w:rFonts w:hint="eastAsia" w:asciiTheme="minorEastAsia" w:hAnsiTheme="minorEastAsia" w:eastAsiaTheme="minorEastAsia" w:cstheme="minorEastAsia"/>
          <w:lang w:eastAsia="zh-CN"/>
        </w:rPr>
        <w:t>第</w:t>
      </w:r>
      <w:r>
        <w:rPr>
          <w:rFonts w:hint="eastAsia" w:asciiTheme="minorEastAsia" w:hAnsiTheme="minorEastAsia" w:eastAsiaTheme="minorEastAsia" w:cstheme="minorEastAsia"/>
          <w:lang w:val="en-US" w:eastAsia="zh-CN"/>
        </w:rPr>
        <w:t>355期，第8页。</w:t>
      </w:r>
    </w:p>
  </w:footnote>
  <w:footnote w:id="3">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汪奠基：《中国</w:t>
      </w:r>
      <w:r>
        <w:rPr>
          <w:rFonts w:hint="eastAsia" w:asciiTheme="minorEastAsia" w:hAnsiTheme="minorEastAsia" w:eastAsiaTheme="minorEastAsia" w:cstheme="minorEastAsia"/>
          <w:lang w:eastAsia="zh-CN"/>
        </w:rPr>
        <w:t>逻辑思想史》，上海：上海人民出版社，</w:t>
      </w:r>
      <w:r>
        <w:rPr>
          <w:rFonts w:hint="eastAsia" w:asciiTheme="minorEastAsia" w:hAnsiTheme="minorEastAsia" w:eastAsiaTheme="minorEastAsia" w:cstheme="minorEastAsia"/>
          <w:lang w:val="en-US" w:eastAsia="zh-CN"/>
        </w:rPr>
        <w:t>1979年，第48页。</w:t>
      </w:r>
    </w:p>
  </w:footnote>
  <w:footnote w:id="4">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推类在中国逻辑推理类型中占主导地位，是因为推类是中国古代思想家广泛讨论并应用，十分重视的一种推理；推类具有鲜明的民族特色，是中国逻辑区别于其他逻辑传统的重要体现。</w:t>
      </w:r>
    </w:p>
  </w:footnote>
  <w:footnote w:id="5">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“引而伸之，触类而长之，天下之能事毕矣。”（《易·系辞上》）</w:t>
      </w:r>
    </w:p>
  </w:footnote>
  <w:footnote w:id="6">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黑格尔：《哲学史讲演录》第</w:t>
      </w:r>
      <w:r>
        <w:rPr>
          <w:rFonts w:hint="eastAsia" w:asciiTheme="minorEastAsia" w:hAnsiTheme="minorEastAsia" w:eastAsiaTheme="minorEastAsia" w:cstheme="minorEastAsia"/>
          <w:lang w:val="en-US" w:eastAsia="zh-CN"/>
        </w:rPr>
        <w:t>1卷，北京：商务印书馆，1981年，第343页。</w:t>
      </w:r>
    </w:p>
  </w:footnote>
  <w:footnote w:id="7">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沈有鼎：《墨经的逻辑学》，北京：中国社会科学出版社，</w:t>
      </w:r>
      <w:r>
        <w:rPr>
          <w:rFonts w:hint="eastAsia" w:asciiTheme="minorEastAsia" w:hAnsiTheme="minorEastAsia" w:eastAsiaTheme="minorEastAsia" w:cstheme="minorEastAsia"/>
          <w:lang w:val="en-US" w:eastAsia="zh-CN"/>
        </w:rPr>
        <w:t>1982</w:t>
      </w:r>
      <w:r>
        <w:rPr>
          <w:rFonts w:hint="eastAsia" w:asciiTheme="minorEastAsia" w:hAnsiTheme="minorEastAsia" w:eastAsiaTheme="minorEastAsia" w:cstheme="minorEastAsia"/>
          <w:lang w:val="en-US" w:eastAsia="zh-CN"/>
        </w:rPr>
        <w:t>年，第42页。</w:t>
      </w:r>
    </w:p>
  </w:footnote>
  <w:footnote w:id="8">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袁愈荌，唐莫尧：《诗经全译》，</w:t>
      </w:r>
      <w:r>
        <w:rPr>
          <w:rFonts w:hint="eastAsia" w:asciiTheme="minorEastAsia" w:hAnsiTheme="minorEastAsia" w:eastAsiaTheme="minorEastAsia" w:cstheme="minorEastAsia"/>
          <w:lang w:eastAsia="zh-CN"/>
        </w:rPr>
        <w:t>贵阳：贵州人民出版社，</w:t>
      </w:r>
      <w:r>
        <w:rPr>
          <w:rFonts w:hint="eastAsia" w:asciiTheme="minorEastAsia" w:hAnsiTheme="minorEastAsia" w:eastAsiaTheme="minorEastAsia" w:cstheme="minorEastAsia"/>
          <w:lang w:val="en-US" w:eastAsia="zh-CN"/>
        </w:rPr>
        <w:t>1982年，第446页。</w:t>
      </w:r>
    </w:p>
  </w:footnote>
  <w:footnote w:id="9">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参见侯外庐等主编：《中国</w:t>
      </w:r>
      <w:r>
        <w:rPr>
          <w:rFonts w:hint="eastAsia" w:asciiTheme="minorEastAsia" w:hAnsiTheme="minorEastAsia" w:eastAsiaTheme="minorEastAsia" w:cstheme="minorEastAsia"/>
          <w:lang w:eastAsia="zh-CN"/>
        </w:rPr>
        <w:t>思想通史》第</w:t>
      </w:r>
      <w:r>
        <w:rPr>
          <w:rFonts w:hint="eastAsia" w:asciiTheme="minorEastAsia" w:hAnsiTheme="minorEastAsia" w:eastAsiaTheme="minorEastAsia" w:cstheme="minorEastAsia"/>
          <w:lang w:val="en-US" w:eastAsia="zh-CN"/>
        </w:rPr>
        <w:t>1卷</w:t>
      </w:r>
      <w:r>
        <w:rPr>
          <w:rFonts w:hint="eastAsia" w:asciiTheme="minorEastAsia" w:hAnsiTheme="minorEastAsia" w:eastAsiaTheme="minorEastAsia" w:cstheme="minorEastAsia"/>
          <w:lang w:eastAsia="zh-CN"/>
        </w:rPr>
        <w:t>，北京：人民出版社，</w:t>
      </w:r>
      <w:r>
        <w:rPr>
          <w:rFonts w:hint="eastAsia" w:asciiTheme="minorEastAsia" w:hAnsiTheme="minorEastAsia" w:eastAsiaTheme="minorEastAsia" w:cstheme="minorEastAsia"/>
          <w:lang w:val="en-US" w:eastAsia="zh-CN"/>
        </w:rPr>
        <w:t>1957年，第239页。</w:t>
      </w:r>
    </w:p>
  </w:footnote>
  <w:footnote w:id="10">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马克思，恩格斯</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马克思恩格斯全集</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第3卷</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中共中央马克思恩格斯列宁斯大林著作编译局，译</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北京：人民出版社，1972</w:t>
      </w:r>
      <w:r>
        <w:rPr>
          <w:rFonts w:hint="eastAsia" w:asciiTheme="minorEastAsia" w:hAnsiTheme="minorEastAsia" w:eastAsiaTheme="minorEastAsia" w:cstheme="minorEastAsia"/>
          <w:lang w:eastAsia="zh-CN"/>
        </w:rPr>
        <w:t>年，第</w:t>
      </w:r>
      <w:r>
        <w:rPr>
          <w:rFonts w:hint="eastAsia" w:asciiTheme="minorEastAsia" w:hAnsiTheme="minorEastAsia" w:eastAsiaTheme="minorEastAsia" w:cstheme="minorEastAsia"/>
        </w:rPr>
        <w:t>465</w:t>
      </w:r>
      <w:r>
        <w:rPr>
          <w:rFonts w:hint="eastAsia" w:asciiTheme="minorEastAsia" w:hAnsiTheme="minorEastAsia" w:eastAsiaTheme="minorEastAsia" w:cstheme="minorEastAsia"/>
          <w:lang w:eastAsia="zh-CN"/>
        </w:rPr>
        <w:t>页。</w:t>
      </w:r>
    </w:p>
  </w:footnote>
  <w:footnote w:id="11">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侯外庐等主编：《中国</w:t>
      </w:r>
      <w:r>
        <w:rPr>
          <w:rFonts w:hint="eastAsia" w:asciiTheme="minorEastAsia" w:hAnsiTheme="minorEastAsia" w:eastAsiaTheme="minorEastAsia" w:cstheme="minorEastAsia"/>
          <w:lang w:eastAsia="zh-CN"/>
        </w:rPr>
        <w:t>思想通史》第</w:t>
      </w:r>
      <w:r>
        <w:rPr>
          <w:rFonts w:hint="eastAsia" w:asciiTheme="minorEastAsia" w:hAnsiTheme="minorEastAsia" w:eastAsiaTheme="minorEastAsia" w:cstheme="minorEastAsia"/>
          <w:lang w:val="en-US" w:eastAsia="zh-CN"/>
        </w:rPr>
        <w:t>1卷</w:t>
      </w:r>
      <w:r>
        <w:rPr>
          <w:rFonts w:hint="eastAsia" w:asciiTheme="minorEastAsia" w:hAnsiTheme="minorEastAsia" w:eastAsiaTheme="minorEastAsia" w:cstheme="minorEastAsia"/>
          <w:lang w:eastAsia="zh-CN"/>
        </w:rPr>
        <w:t>，北京：人民出版社，</w:t>
      </w:r>
      <w:r>
        <w:rPr>
          <w:rFonts w:hint="eastAsia" w:asciiTheme="minorEastAsia" w:hAnsiTheme="minorEastAsia" w:eastAsiaTheme="minorEastAsia" w:cstheme="minorEastAsia"/>
          <w:lang w:val="en-US" w:eastAsia="zh-CN"/>
        </w:rPr>
        <w:t>1957年，第239页。</w:t>
      </w:r>
    </w:p>
  </w:footnote>
  <w:footnote w:id="12">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引用的《论语》例证中，（第一则）子贡听到（知道）一件事可以推知两件事，而颜回能听到（知道）一件事可以推知十件事。不管是听到一件事可以推知两件事还是十件事，都体现了一个由已知到未知推论思维过程。而“弗如也”也表明了孔子十分注重推知能力。（第二则）告诉过去的事（已知的事）就能够知道未来的事（未知的事）。孔子的回答也是和举一反三类似的含义。（第三则）温习旧的知识而得到新的体会（获得原来所没有的新的感想）。（第四则）孔子回答子张的话就体现了一个推论的过程，在孔子看来由这个过程可以推知未来十世乃至百世（的礼仪制度）。</w:t>
      </w:r>
    </w:p>
  </w:footnote>
  <w:footnote w:id="13">
    <w:p>
      <w:pPr>
        <w:pStyle w:val="7"/>
        <w:snapToGrid w:val="0"/>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墨子所言之“类”的基本意义是“种类”，即具有某些相同属性的事物的集合。墨子在论辩中为了反驳对方，常常会对两个事物的同类或异类作出判断，并说明同类可以类推，而异类事物不可类推，以支持自己的观点。</w:t>
      </w:r>
    </w:p>
  </w:footnote>
  <w:footnote w:id="14">
    <w:p>
      <w:pPr>
        <w:rPr>
          <w:rFonts w:hint="eastAsia" w:asciiTheme="minorEastAsia" w:hAnsiTheme="minorEastAsia" w:eastAsiaTheme="minorEastAsia" w:cstheme="minorEastAsia"/>
          <w:sz w:val="18"/>
          <w:szCs w:val="18"/>
        </w:rPr>
      </w:pPr>
      <w:r>
        <w:rPr>
          <w:rStyle w:val="14"/>
          <w:rFonts w:hint="eastAsia" w:asciiTheme="minorEastAsia" w:hAnsiTheme="minorEastAsia" w:eastAsiaTheme="minorEastAsia" w:cstheme="minorEastAsia"/>
          <w:sz w:val="18"/>
          <w:szCs w:val="18"/>
        </w:rPr>
        <w:footnoteRef/>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rPr>
        <w:t>公输盘曰：“夫子何命焉为？”子墨子曰：“北方有侮臣者，愿借子杀之。”公输盘不说。子墨子曰：“请献十金。”公输盘曰：“吾义固不杀人。”</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eastAsia="zh-CN"/>
        </w:rPr>
        <w:t>《墨子·公输》）</w:t>
      </w:r>
    </w:p>
  </w:footnote>
  <w:footnote w:id="15">
    <w:p>
      <w:pPr>
        <w:pStyle w:val="7"/>
        <w:snapToGrid w:val="0"/>
        <w:rPr>
          <w:rFonts w:hint="eastAsia" w:asciiTheme="minorEastAsia" w:hAnsiTheme="minorEastAsia" w:eastAsiaTheme="minorEastAsia" w:cstheme="minorEastAsia"/>
        </w:rPr>
      </w:pPr>
      <w:r>
        <w:rPr>
          <w:rStyle w:val="14"/>
          <w:rFonts w:hint="eastAsia" w:asciiTheme="minorAscii" w:hAnsiTheme="minorEastAsia" w:eastAsiaTheme="minorEastAsia" w:cstheme="minorEastAsia"/>
        </w:rPr>
        <w:footnoteRef/>
      </w:r>
      <w:r>
        <w:rPr>
          <w:rFonts w:hint="eastAsia" w:asciiTheme="minorAscii" w:hAnsiTheme="minorEastAsia" w:eastAsiaTheme="minorEastAsia" w:cstheme="minorEastAsia"/>
        </w:rPr>
        <w:t xml:space="preserve"> </w:t>
      </w:r>
      <w:r>
        <w:rPr>
          <w:rFonts w:hint="eastAsia" w:asciiTheme="minorEastAsia" w:hAnsiTheme="minorEastAsia" w:eastAsiaTheme="minorEastAsia" w:cstheme="minorEastAsia"/>
        </w:rPr>
        <w:t>蚳</w:t>
      </w:r>
      <w:r>
        <w:rPr>
          <w:rFonts w:hint="eastAsia" w:asciiTheme="minorEastAsia" w:hAnsiTheme="minorEastAsia" w:eastAsiaTheme="minorEastAsia" w:cstheme="minorEastAsia"/>
          <w:lang w:eastAsia="zh-CN"/>
        </w:rPr>
        <w:t>（音chí）</w:t>
      </w:r>
      <w:r>
        <w:rPr>
          <w:rFonts w:hint="eastAsia" w:asciiTheme="minorEastAsia" w:hAnsiTheme="minorEastAsia" w:eastAsiaTheme="minorEastAsia" w:cstheme="minorEastAsia"/>
        </w:rPr>
        <w:t>蛙</w:t>
      </w:r>
      <w:r>
        <w:rPr>
          <w:rFonts w:hint="eastAsia" w:asciiTheme="minorEastAsia" w:hAnsiTheme="minorEastAsia" w:eastAsiaTheme="minorEastAsia" w:cstheme="minorEastAsia"/>
          <w:lang w:eastAsia="zh-CN"/>
        </w:rPr>
        <w:t>：齐国大</w:t>
      </w:r>
      <w:r>
        <w:rPr>
          <w:rFonts w:hint="eastAsia" w:asciiTheme="minorEastAsia" w:hAnsiTheme="minorEastAsia" w:eastAsiaTheme="minorEastAsia" w:cstheme="minorEastAsia"/>
          <w:lang w:eastAsia="zh-CN"/>
        </w:rPr>
        <w:t>夫。参见杨伯峻《孟子译注》上，北京：中华书局，</w:t>
      </w:r>
      <w:r>
        <w:rPr>
          <w:rFonts w:hint="eastAsia" w:asciiTheme="minorEastAsia" w:hAnsiTheme="minorEastAsia" w:eastAsiaTheme="minorEastAsia" w:cstheme="minorEastAsia"/>
          <w:lang w:val="en-US" w:eastAsia="zh-CN"/>
        </w:rPr>
        <w:t>2008年，</w:t>
      </w:r>
      <w:r>
        <w:rPr>
          <w:rFonts w:hint="eastAsia" w:asciiTheme="minorEastAsia" w:hAnsiTheme="minorEastAsia" w:eastAsiaTheme="minorEastAsia" w:cstheme="minorEastAsia"/>
          <w:lang w:eastAsia="zh-CN"/>
        </w:rPr>
        <w:t>第</w:t>
      </w:r>
      <w:r>
        <w:rPr>
          <w:rFonts w:hint="eastAsia" w:asciiTheme="minorEastAsia" w:hAnsiTheme="minorEastAsia" w:eastAsiaTheme="minorEastAsia" w:cstheme="minorEastAsia"/>
          <w:lang w:val="en-US" w:eastAsia="zh-CN"/>
        </w:rPr>
        <w:t>96页。</w:t>
      </w:r>
    </w:p>
  </w:footnote>
  <w:footnote w:id="16">
    <w:p>
      <w:pPr>
        <w:pStyle w:val="7"/>
        <w:snapToGrid w:val="0"/>
        <w:rPr>
          <w:rFonts w:hint="eastAsia" w:asciiTheme="minorEastAsia" w:hAnsiTheme="minorEastAsia" w:eastAsiaTheme="minorEastAsia" w:cstheme="minorEastAsia"/>
        </w:rPr>
      </w:pPr>
      <w:r>
        <w:rPr>
          <w:rStyle w:val="14"/>
          <w:rFonts w:hint="eastAsia" w:asciiTheme="minorAscii" w:hAnsiTheme="minorEastAsia" w:eastAsiaTheme="minorEastAsia" w:cstheme="minorEastAsia"/>
        </w:rPr>
        <w:footnoteRef/>
      </w:r>
      <w:r>
        <w:rPr>
          <w:rFonts w:hint="eastAsia" w:asciiTheme="minorAscii" w:hAnsiTheme="minorEastAsia" w:eastAsiaTheme="minorEastAsia" w:cstheme="minorEastAsia"/>
        </w:rPr>
        <w:t xml:space="preserve"> </w:t>
      </w:r>
      <w:r>
        <w:rPr>
          <w:rFonts w:hint="eastAsia" w:asciiTheme="minorEastAsia" w:hAnsiTheme="minorEastAsia" w:eastAsiaTheme="minorEastAsia" w:cstheme="minorEastAsia"/>
          <w:lang w:eastAsia="zh-CN"/>
        </w:rPr>
        <w:t>孙中原：《诸子百家的逻辑智慧》，北京：机械工业出版社，</w:t>
      </w:r>
      <w:r>
        <w:rPr>
          <w:rFonts w:hint="eastAsia" w:asciiTheme="minorEastAsia" w:hAnsiTheme="minorEastAsia" w:eastAsiaTheme="minorEastAsia" w:cstheme="minorEastAsia"/>
          <w:lang w:val="en-US" w:eastAsia="zh-CN"/>
        </w:rPr>
        <w:t>2004年，第10页。</w:t>
      </w:r>
    </w:p>
  </w:footnote>
  <w:footnote w:id="17">
    <w:p>
      <w:pPr>
        <w:pStyle w:val="7"/>
        <w:snapToGrid w:val="0"/>
        <w:rPr>
          <w:rFonts w:hint="eastAsia" w:asciiTheme="minorEastAsia" w:hAnsiTheme="minorEastAsia" w:eastAsiaTheme="minorEastAsia" w:cstheme="minorEastAsia"/>
          <w:lang w:eastAsia="zh-CN"/>
        </w:rPr>
      </w:pPr>
      <w:r>
        <w:rPr>
          <w:rStyle w:val="14"/>
          <w:rFonts w:hint="eastAsia" w:asciiTheme="minorAscii" w:hAnsiTheme="minorEastAsia" w:eastAsiaTheme="minorEastAsia" w:cstheme="minorEastAsia"/>
        </w:rPr>
        <w:footnoteRef/>
      </w:r>
      <w:r>
        <w:rPr>
          <w:rFonts w:hint="eastAsia" w:asciiTheme="minorAscii" w:hAnsiTheme="minorEastAsia" w:eastAsiaTheme="minorEastAsia" w:cstheme="minorEastAsia"/>
        </w:rPr>
        <w:t xml:space="preserve"> </w:t>
      </w:r>
      <w:r>
        <w:rPr>
          <w:rFonts w:hint="eastAsia" w:asciiTheme="minorEastAsia" w:hAnsiTheme="minorEastAsia" w:eastAsiaTheme="minorEastAsia" w:cstheme="minorEastAsia"/>
          <w:lang w:eastAsia="zh-CN"/>
        </w:rPr>
        <w:t>历史的局限</w:t>
      </w:r>
      <w:r>
        <w:rPr>
          <w:rFonts w:hint="eastAsia" w:asciiTheme="minorEastAsia" w:hAnsiTheme="minorEastAsia" w:eastAsiaTheme="minorEastAsia" w:cstheme="minorEastAsia"/>
          <w:highlight w:val="none"/>
          <w:lang w:eastAsia="zh-CN"/>
        </w:rPr>
        <w:t>性主要是指由于社会历史文化条件的影响，人类逻辑思维发展阶段的限制，孟子对推类的研究不能超越历史阶段和逻辑传统。自身的局限性是</w:t>
      </w:r>
      <w:r>
        <w:rPr>
          <w:rFonts w:hint="eastAsia" w:asciiTheme="minorEastAsia" w:hAnsiTheme="minorEastAsia" w:eastAsiaTheme="minorEastAsia" w:cstheme="minorEastAsia"/>
          <w:lang w:eastAsia="zh-CN"/>
        </w:rPr>
        <w:t>指孟子对墨子学说的极力排斥使得他对墨家辩学的认识不够全面，对类观念以及推类的思考还比较直观。他的比附方法貌似“类比”，但实际上内在的逻辑并不严谨。</w:t>
      </w:r>
    </w:p>
  </w:footnote>
  <w:footnote w:id="18">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荀子·非十二子》：“案往旧造说，谓之五行，甚僻违而无类，幽隐而无说，闭约而无解。案饰其辞而祗敬之曰：此真先君子之言也。子思唱之，孟轲和之，世俗之沟犹瞀儒，嚾嚾然不知其所非也，遂受而传之，以为仲尼、子游为兹厚于后世，是则子思、孟轲之罪也。”</w:t>
      </w:r>
    </w:p>
  </w:footnote>
  <w:footnote w:id="19">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《荀子·非相》</w:t>
      </w:r>
      <w:r>
        <w:rPr>
          <w:rFonts w:hint="eastAsia" w:asciiTheme="minorEastAsia" w:hAnsiTheme="minorEastAsia" w:eastAsiaTheme="minorEastAsia" w:cstheme="minorEastAsia"/>
          <w:lang w:eastAsia="zh-CN"/>
        </w:rPr>
        <w:t>云：</w:t>
      </w:r>
      <w:r>
        <w:rPr>
          <w:rFonts w:hint="eastAsia" w:asciiTheme="minorEastAsia" w:hAnsiTheme="minorEastAsia" w:eastAsiaTheme="minorEastAsia" w:cstheme="minorEastAsia"/>
        </w:rPr>
        <w:t>“类不悖，虽久同理。”</w:t>
      </w:r>
    </w:p>
  </w:footnote>
  <w:footnote w:id="20">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单名和兼名的使用，例如要指称某一动物时，可以用“马”、“牛”等单名；如果还需要进一步指明该动物的某性质，比如什么颜色的动物时，就需要用“白马”“白牛”等兼名来指称。</w:t>
      </w:r>
    </w:p>
  </w:footnote>
  <w:footnote w:id="21">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荀子认为，人们所想要认识的大千世界，万物有同有异，如果需要指称具有某种相同性质的一类对象即“欲遍举之”时，就要用“共名”，“共名”继续“遍举”，会有更大的“共名”，“至于无共然后止”概念概括的极限所得到的就是“大共名”。如果需要揭示事物的差别性，认识范围缩小，即“欲偏举之”时，就要用“别名”，“别名”继续“偏举”，会有更小的“别名”，“至于无别然后止”概念限制的极限所得到的就是“大别名”。</w:t>
      </w:r>
    </w:p>
  </w:footnote>
  <w:footnote w:id="22">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见《墨子·经说上》：“名，达、类、私。”《经说上》云：“名：物，达也，有实必待文多也。命之马，类也，若实也者，必以是名也。命之臧，私也，是名也，止于是实也。”达名相当于荀子的大共名，是外延最大的范畴；类名相当于荀子的共名和别名，即一般的普遍概念（类概念、属或种概念）；私名相当于荀子的大别名，即单独概念。</w:t>
      </w:r>
    </w:p>
  </w:footnote>
  <w:footnote w:id="23">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经上》、《经下》、《经说上》、《经说下》四篇均以“经”为名，所以被称为“墨经”。清汪中将这四篇与《大取》、《小取》合称为《墨经》。西晋鲁胜第一次称这四篇为《墨辩》：“墨子著书，作辩经以立名本……墨辩有上、下经，经各有说，凡四篇。”清孙诒让认为《墨经》即是《墨辩》，是包括大小取在内的六篇，胡适也如此认为。学界比较流行的看法是《墨辩》包括《经上》、《经下》、《经说上》、《经说下》、《大取》、《小取》六篇。笔者也同意这种看法，故本文也在此意义上使用。</w:t>
      </w:r>
    </w:p>
  </w:footnote>
  <w:footnote w:id="24">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沈有鼎：《墨经的逻辑学》，北京：中国社会科学出版社，</w:t>
      </w:r>
      <w:r>
        <w:rPr>
          <w:rFonts w:hint="eastAsia" w:asciiTheme="minorEastAsia" w:hAnsiTheme="minorEastAsia" w:eastAsiaTheme="minorEastAsia" w:cstheme="minorEastAsia"/>
          <w:lang w:val="en-US" w:eastAsia="zh-CN"/>
        </w:rPr>
        <w:t>1982年，第2页。</w:t>
      </w:r>
    </w:p>
  </w:footnote>
  <w:footnote w:id="25">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以下引自《墨辩》诸篇的内容，均只注篇名。</w:t>
      </w:r>
    </w:p>
  </w:footnote>
  <w:footnote w:id="26">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参见杨沛荪主编：《中国逻辑思想史教程》，兰州：甘肃人民出版社，</w:t>
      </w:r>
      <w:r>
        <w:rPr>
          <w:rFonts w:hint="eastAsia" w:asciiTheme="minorEastAsia" w:hAnsiTheme="minorEastAsia" w:eastAsiaTheme="minorEastAsia" w:cstheme="minorEastAsia"/>
          <w:lang w:val="en-US" w:eastAsia="zh-CN"/>
        </w:rPr>
        <w:t>1988年，第86－87页。</w:t>
      </w:r>
    </w:p>
  </w:footnote>
  <w:footnote w:id="27">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参考罗炳良，胡喜云：《墨子解说》，北京：华夏出版社，</w:t>
      </w:r>
      <w:r>
        <w:rPr>
          <w:rFonts w:hint="eastAsia" w:asciiTheme="minorEastAsia" w:hAnsiTheme="minorEastAsia" w:eastAsiaTheme="minorEastAsia" w:cstheme="minorEastAsia"/>
          <w:lang w:val="en-US" w:eastAsia="zh-CN"/>
        </w:rPr>
        <w:t>2007年，第238</w:t>
      </w:r>
      <w:r>
        <w:rPr>
          <w:rFonts w:hint="eastAsia" w:asciiTheme="minorEastAsia" w:hAnsiTheme="minorEastAsia" w:eastAsiaTheme="minorEastAsia" w:cstheme="minorEastAsia"/>
          <w:lang w:val="en-US" w:eastAsia="zh-CN"/>
        </w:rPr>
        <w:t>页。</w:t>
      </w:r>
    </w:p>
  </w:footnote>
  <w:footnote w:id="28">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沈有鼎认为，《小取》有完整而简明的辩学体系。莫绍揆认为《小取》讨论辩的性质，其对象及内容，可以说是总论（或绪论）。详细叙述参见孙中原：《论中国逻辑研究》。</w:t>
      </w:r>
    </w:p>
  </w:footnote>
  <w:footnote w:id="29">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参考罗炳良，胡喜云：《墨子解说》，北京：华夏出版社，</w:t>
      </w:r>
      <w:r>
        <w:rPr>
          <w:rFonts w:hint="eastAsia" w:asciiTheme="minorEastAsia" w:hAnsiTheme="minorEastAsia" w:eastAsiaTheme="minorEastAsia" w:cstheme="minorEastAsia"/>
          <w:lang w:val="en-US" w:eastAsia="zh-CN"/>
        </w:rPr>
        <w:t>2007年，第276页。</w:t>
      </w:r>
    </w:p>
  </w:footnote>
  <w:footnote w:id="30">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参见杨沛荪主编：《中国逻辑思想史教程》，兰州：甘肃人民出版社，</w:t>
      </w:r>
      <w:r>
        <w:rPr>
          <w:rFonts w:hint="eastAsia" w:asciiTheme="minorEastAsia" w:hAnsiTheme="minorEastAsia" w:eastAsiaTheme="minorEastAsia" w:cstheme="minorEastAsia"/>
          <w:lang w:val="en-US" w:eastAsia="zh-CN"/>
        </w:rPr>
        <w:t>1988年，第103</w:t>
      </w:r>
      <w:r>
        <w:rPr>
          <w:rFonts w:hint="eastAsia" w:asciiTheme="minorEastAsia" w:hAnsiTheme="minorEastAsia" w:eastAsiaTheme="minorEastAsia" w:cstheme="minorEastAsia"/>
          <w:lang w:val="en-US" w:eastAsia="zh-CN"/>
        </w:rPr>
        <w:t>页。</w:t>
      </w:r>
    </w:p>
  </w:footnote>
  <w:footnote w:id="31">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Style w:val="14"/>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《墨辩》指出假言判断的条件关系有两种，一种是必要条件“小故”，另一种是充分必要条件“大故”。</w:t>
      </w:r>
    </w:p>
  </w:footnote>
  <w:footnote w:id="32">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“效者，为之法也”，“法”的意思是被作为标准、原则、模型及范式的东西，这里是说，“效”就是某种法。</w:t>
      </w:r>
    </w:p>
  </w:footnote>
  <w:footnote w:id="33">
    <w:p>
      <w:pPr>
        <w:pStyle w:val="7"/>
        <w:snapToGrid w:val="0"/>
      </w:pPr>
      <w:r>
        <w:rPr>
          <w:rStyle w:val="14"/>
          <w:rFonts w:hint="eastAsia" w:asciiTheme="minorEastAsia" w:hAnsiTheme="minorEastAsia" w:eastAsiaTheme="minorEastAsia" w:cstheme="minorEastAsia"/>
          <w:sz w:val="18"/>
          <w:szCs w:val="18"/>
        </w:rPr>
        <w:footnoteRef/>
      </w:r>
      <w:r>
        <w:rPr>
          <w:rFonts w:hint="eastAsia" w:asciiTheme="minorEastAsia" w:hAnsiTheme="minorEastAsia" w:eastAsiaTheme="minorEastAsia" w:cstheme="minorEastAsia"/>
          <w:sz w:val="18"/>
          <w:szCs w:val="18"/>
          <w:lang w:val="en-US" w:eastAsia="zh-CN"/>
        </w:rPr>
        <w:t xml:space="preserve"> </w:t>
      </w:r>
      <w:r>
        <w:rPr>
          <w:rFonts w:hint="eastAsia"/>
          <w:lang w:eastAsia="zh-CN"/>
        </w:rPr>
        <w:t>沈有鼎：《墨经的逻辑学》</w:t>
      </w:r>
      <w:r>
        <w:rPr>
          <w:rFonts w:hint="eastAsia" w:asciiTheme="minorEastAsia" w:hAnsiTheme="minorEastAsia" w:cstheme="minorEastAsia"/>
          <w:lang w:val="en-US" w:eastAsia="zh-CN"/>
        </w:rPr>
        <w:t>，北京：中国社会科学出版社，1982年，第50页。</w:t>
      </w:r>
    </w:p>
  </w:footnote>
  <w:footnote w:id="34">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Style w:val="14"/>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参考南开大学哲学系逻辑学教研室：《逻辑学基础教程》，天津：南开大学出版社，</w:t>
      </w:r>
      <w:r>
        <w:rPr>
          <w:rFonts w:hint="eastAsia" w:asciiTheme="minorEastAsia" w:hAnsiTheme="minorEastAsia" w:eastAsiaTheme="minorEastAsia" w:cstheme="minorEastAsia"/>
          <w:lang w:val="en-US" w:eastAsia="zh-CN"/>
        </w:rPr>
        <w:t>2008年，第75页。</w:t>
      </w:r>
    </w:p>
  </w:footnote>
  <w:footnote w:id="35">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sz w:val="18"/>
          <w:szCs w:val="18"/>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即三段论公理：</w:t>
      </w:r>
      <w:r>
        <w:rPr>
          <w:rFonts w:hint="eastAsia" w:asciiTheme="minorEastAsia" w:hAnsiTheme="minorEastAsia" w:eastAsiaTheme="minorEastAsia" w:cstheme="minorEastAsia"/>
          <w:highlight w:val="none"/>
          <w:lang w:val="en-US" w:eastAsia="zh-CN"/>
        </w:rPr>
        <w:t>对一类事物的全部有所断定（肯定或否定），那么对该类中任一事物也必定有所断定（肯定或否定）。</w:t>
      </w:r>
    </w:p>
  </w:footnote>
  <w:footnote w:id="36">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亚氏三段论的外延类包含关系：小项（个体）必然包括中项（类）之中。《墨辩》则是根据“同法者必同类”的原理，“一法者之相与也尽类”是推理的基本假设。</w:t>
      </w:r>
    </w:p>
  </w:footnote>
  <w:footnote w:id="37">
    <w:p>
      <w:pPr>
        <w:pStyle w:val="7"/>
        <w:snapToGrid w:val="0"/>
        <w:rPr>
          <w:rFonts w:hint="eastAsia" w:asciiTheme="minorEastAsia" w:hAnsiTheme="minorEastAsia" w:eastAsiaTheme="minorEastAsia" w:cstheme="minorEastAsia"/>
        </w:rPr>
      </w:pPr>
      <w:r>
        <w:rPr>
          <w:rStyle w:val="14"/>
          <w:rFonts w:hint="eastAsia" w:asciiTheme="minorEastAsia" w:hAnsiTheme="minorEastAsia" w:eastAsiaTheme="minorEastAsia" w:cstheme="minorEastAsia"/>
        </w:rPr>
        <w:footnoteRef/>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eastAsia="zh-CN"/>
        </w:rPr>
        <w:t>参见沈有鼎：《墨经的逻辑学》，北京：中国社会科学出版社，</w:t>
      </w:r>
      <w:r>
        <w:rPr>
          <w:rFonts w:hint="eastAsia" w:asciiTheme="minorEastAsia" w:hAnsiTheme="minorEastAsia" w:eastAsiaTheme="minorEastAsia" w:cstheme="minorEastAsia"/>
          <w:lang w:val="en-US" w:eastAsia="zh-CN"/>
        </w:rPr>
        <w:t>1982</w:t>
      </w:r>
      <w:r>
        <w:rPr>
          <w:rFonts w:hint="eastAsia" w:asciiTheme="minorEastAsia" w:hAnsiTheme="minorEastAsia" w:eastAsiaTheme="minorEastAsia" w:cstheme="minorEastAsia"/>
          <w:lang w:val="en-US" w:eastAsia="zh-CN"/>
        </w:rPr>
        <w:t>年，第52</w:t>
      </w:r>
      <w:r>
        <w:rPr>
          <w:rFonts w:hint="eastAsia" w:asciiTheme="minorEastAsia" w:hAnsiTheme="minorEastAsia" w:eastAsiaTheme="minorEastAsia" w:cstheme="minorEastAsia"/>
          <w:lang w:val="en-US" w:eastAsia="zh-CN"/>
        </w:rPr>
        <w:t>页。</w:t>
      </w:r>
    </w:p>
  </w:footnote>
  <w:footnote w:id="38">
    <w:p>
      <w:pPr>
        <w:pStyle w:val="7"/>
        <w:snapToGrid w:val="0"/>
      </w:pPr>
      <w:r>
        <w:rPr>
          <w:rStyle w:val="14"/>
        </w:rPr>
        <w:footnoteRef/>
      </w:r>
      <w:r>
        <w:t xml:space="preserve"> </w:t>
      </w:r>
      <w:r>
        <w:rPr>
          <w:rFonts w:hint="eastAsia"/>
          <w:lang w:val="en-US" w:eastAsia="zh-CN"/>
        </w:rPr>
        <w:t>子墨子谓鲁阳文君曰：“大国之攻小国，譬犹童子之为马也。童子之为马，足用而劳。今大国之攻小国也，攻者，农夫不得耕，妇人不得织，以守为事；攻人者，亦农夫不得耕，妇人不得织，以攻为事。故大国之攻小</w:t>
      </w:r>
      <w:bookmarkStart w:id="0" w:name="_GoBack"/>
      <w:bookmarkEnd w:id="0"/>
      <w:r>
        <w:rPr>
          <w:rFonts w:hint="eastAsia"/>
          <w:lang w:val="en-US" w:eastAsia="zh-CN"/>
        </w:rPr>
        <w:t>国也，譬犹童子之为马也。”（《墨子</w:t>
      </w:r>
      <w:r>
        <w:rPr>
          <w:rFonts w:hint="eastAsia" w:ascii="宋体" w:hAnsi="宋体" w:eastAsia="宋体" w:cs="宋体"/>
          <w:lang w:val="en-US" w:eastAsia="zh-CN"/>
        </w:rPr>
        <w:t>·耕柱</w:t>
      </w:r>
      <w:r>
        <w:rPr>
          <w:rFonts w:hint="eastAsia"/>
          <w:lang w:val="en-US" w:eastAsia="zh-CN"/>
        </w:rPr>
        <w:t>》）这里也是“举他物以明之”，此物与另一物本质相同，举该物类比，以获得另一物与此物为同类的认识。</w:t>
      </w:r>
    </w:p>
  </w:footnote>
  <w:footnote w:id="39">
    <w:p>
      <w:pPr>
        <w:pStyle w:val="7"/>
        <w:snapToGrid w:val="0"/>
      </w:pPr>
      <w:r>
        <w:rPr>
          <w:rStyle w:val="14"/>
        </w:rPr>
        <w:footnoteRef/>
      </w:r>
      <w:r>
        <w:t xml:space="preserve"> </w:t>
      </w:r>
      <w:r>
        <w:rPr>
          <w:rFonts w:hint="eastAsia"/>
          <w:lang w:eastAsia="zh-CN"/>
        </w:rPr>
        <w:t>孙诒让、胡适、汪奠基的</w:t>
      </w:r>
      <w:r>
        <w:rPr>
          <w:rFonts w:hint="eastAsia" w:asciiTheme="minorEastAsia" w:hAnsiTheme="minorEastAsia" w:eastAsiaTheme="minorEastAsia" w:cstheme="minorEastAsia"/>
          <w:lang w:eastAsia="zh-CN"/>
        </w:rPr>
        <w:t>说法</w:t>
      </w:r>
      <w:r>
        <w:rPr>
          <w:rFonts w:hint="eastAsia" w:asciiTheme="minorEastAsia" w:hAnsiTheme="minorEastAsia" w:cstheme="minorEastAsia"/>
          <w:lang w:eastAsia="zh-CN"/>
        </w:rPr>
        <w:t>均</w:t>
      </w:r>
      <w:r>
        <w:rPr>
          <w:rFonts w:hint="eastAsia" w:asciiTheme="minorEastAsia" w:hAnsiTheme="minorEastAsia" w:eastAsiaTheme="minorEastAsia" w:cstheme="minorEastAsia"/>
          <w:lang w:eastAsia="zh-CN"/>
        </w:rPr>
        <w:t>转引自李匡武、杨沛荪主编：《中国逻辑史资料选》先秦卷，兰州：甘肃人民出版社，</w:t>
      </w:r>
      <w:r>
        <w:rPr>
          <w:rFonts w:hint="eastAsia" w:asciiTheme="minorEastAsia" w:hAnsiTheme="minorEastAsia" w:eastAsiaTheme="minorEastAsia" w:cstheme="minorEastAsia"/>
          <w:lang w:val="en-US" w:eastAsia="zh-CN"/>
        </w:rPr>
        <w:t>1991年，第195页。</w:t>
      </w:r>
    </w:p>
  </w:footnote>
  <w:footnote w:id="40">
    <w:p>
      <w:pPr>
        <w:pStyle w:val="7"/>
        <w:snapToGrid w:val="0"/>
      </w:pPr>
      <w:r>
        <w:rPr>
          <w:rStyle w:val="14"/>
        </w:rPr>
        <w:footnoteRef/>
      </w:r>
      <w:r>
        <w:t xml:space="preserve"> </w:t>
      </w:r>
      <w:r>
        <w:rPr>
          <w:rFonts w:hint="eastAsia"/>
          <w:lang w:eastAsia="zh-CN"/>
        </w:rPr>
        <w:t>《经上》云：“说，所以明也。”这是《经上》给推理下的定义。《经下》云：“闻所不知若知，则两知之。说在告。”意思是闻而所不知，如果告诉所知的，那么就两者都知道，这就是“说”的告知的意义。</w:t>
      </w:r>
    </w:p>
  </w:footnote>
  <w:footnote w:id="41">
    <w:p>
      <w:pPr>
        <w:pStyle w:val="7"/>
        <w:snapToGrid w:val="0"/>
      </w:pPr>
      <w:r>
        <w:rPr>
          <w:rStyle w:val="14"/>
        </w:rPr>
        <w:footnoteRef/>
      </w:r>
      <w:r>
        <w:rPr>
          <w:rFonts w:hint="eastAsia"/>
          <w:lang w:val="en-US" w:eastAsia="zh-CN"/>
        </w:rPr>
        <w:t xml:space="preserve"> 孙诒让：《与梁卓如论墨子书》，转引自</w:t>
      </w:r>
      <w:r>
        <w:rPr>
          <w:rFonts w:hint="eastAsia"/>
        </w:rPr>
        <w:t>孙中原《论中国逻辑研究》，《哲学与文化——中国逻辑专题》</w:t>
      </w:r>
      <w:r>
        <w:rPr>
          <w:rFonts w:hint="eastAsia"/>
          <w:lang w:eastAsia="zh-CN"/>
        </w:rPr>
        <w:t>台北：哲学与文化月刊杂志社，</w:t>
      </w:r>
      <w:r>
        <w:rPr>
          <w:rFonts w:hint="eastAsia" w:asciiTheme="minorEastAsia" w:hAnsiTheme="minorEastAsia" w:eastAsiaTheme="minorEastAsia" w:cstheme="minorEastAsia"/>
          <w:highlight w:val="none"/>
        </w:rPr>
        <w:t>2003年</w:t>
      </w:r>
      <w:r>
        <w:rPr>
          <w:rFonts w:hint="eastAsia" w:asciiTheme="minorEastAsia" w:hAnsiTheme="minorEastAsia" w:eastAsiaTheme="minorEastAsia" w:cstheme="minorEastAsia"/>
        </w:rPr>
        <w:t>，第355期，第</w:t>
      </w:r>
      <w:r>
        <w:rPr>
          <w:rFonts w:hint="eastAsia" w:asciiTheme="minorEastAsia" w:hAnsiTheme="minorEastAsia" w:eastAsiaTheme="minorEastAsia" w:cstheme="minorEastAsia"/>
          <w:lang w:val="en-US" w:eastAsia="zh-CN"/>
        </w:rPr>
        <w:t>9－10</w:t>
      </w:r>
      <w:r>
        <w:rPr>
          <w:rFonts w:hint="eastAsia"/>
        </w:rPr>
        <w:t>页</w:t>
      </w:r>
      <w:r>
        <w:rPr>
          <w:rFonts w:hint="eastAsia"/>
          <w:lang w:eastAsia="zh-CN"/>
        </w:rPr>
        <w:t>。</w:t>
      </w:r>
    </w:p>
  </w:footnote>
  <w:footnote w:id="42">
    <w:p>
      <w:pPr>
        <w:pStyle w:val="7"/>
        <w:snapToGrid w:val="0"/>
        <w:rPr>
          <w:rFonts w:hint="eastAsia" w:asciiTheme="minorEastAsia" w:hAnsiTheme="minorEastAsia" w:eastAsiaTheme="minorEastAsia" w:cstheme="minorEastAsia"/>
        </w:rPr>
      </w:pPr>
      <w:r>
        <w:rPr>
          <w:rStyle w:val="14"/>
        </w:rPr>
        <w:footnoteRef/>
      </w:r>
      <w:r>
        <w:t xml:space="preserve"> </w:t>
      </w:r>
      <w:r>
        <w:rPr>
          <w:rFonts w:hint="eastAsia" w:asciiTheme="minorEastAsia" w:hAnsiTheme="minorEastAsia" w:eastAsiaTheme="minorEastAsia" w:cstheme="minorEastAsia"/>
          <w:lang w:eastAsia="zh-CN"/>
        </w:rPr>
        <w:t>参见周云之、刘培育：《先秦逻辑史》，北京：中国社会科学出版社，</w:t>
      </w:r>
      <w:r>
        <w:rPr>
          <w:rFonts w:hint="eastAsia" w:asciiTheme="minorEastAsia" w:hAnsiTheme="minorEastAsia" w:eastAsiaTheme="minorEastAsia" w:cstheme="minorEastAsia"/>
          <w:lang w:val="en-US" w:eastAsia="zh-CN"/>
        </w:rPr>
        <w:t>1984年，第154－156页，转引自杨沛荪主编《中国逻辑思想史教程》，第113－114页</w:t>
      </w:r>
      <w:r>
        <w:rPr>
          <w:rFonts w:hint="eastAsia" w:asciiTheme="minorEastAsia" w:hAnsiTheme="minorEastAsia" w:cstheme="minorEastAsia"/>
          <w:lang w:val="en-US" w:eastAsia="zh-CN"/>
        </w:rPr>
        <w:t>。</w:t>
      </w:r>
    </w:p>
  </w:footnote>
  <w:footnote w:id="43">
    <w:p>
      <w:pPr>
        <w:pStyle w:val="7"/>
        <w:snapToGrid w:val="0"/>
      </w:pPr>
      <w:r>
        <w:rPr>
          <w:rStyle w:val="14"/>
        </w:rPr>
        <w:footnoteRef/>
      </w:r>
      <w:r>
        <w:t xml:space="preserve"> </w:t>
      </w:r>
      <w:r>
        <w:rPr>
          <w:rFonts w:hint="eastAsia"/>
          <w:lang w:eastAsia="zh-CN"/>
        </w:rPr>
        <w:t>“俣”与“误”通假，俣、俱形似误写。俣借为误，意为错误。</w:t>
      </w:r>
    </w:p>
  </w:footnote>
  <w:footnote w:id="44">
    <w:p>
      <w:pPr>
        <w:pStyle w:val="7"/>
        <w:snapToGrid w:val="0"/>
      </w:pPr>
      <w:r>
        <w:rPr>
          <w:rStyle w:val="14"/>
        </w:rPr>
        <w:footnoteRef/>
      </w:r>
      <w:r>
        <w:t xml:space="preserve"> </w:t>
      </w:r>
      <w:r>
        <w:rPr>
          <w:rFonts w:hint="eastAsia"/>
          <w:lang w:eastAsia="zh-CN"/>
        </w:rPr>
        <w:t>《经说下》云：“彼，正名者彼、此，彼此，可。彼彼止于彼，此此止于此，彼此，不可，彼且此也，彼此亦可。彼此止于彼此，若是而彼此也，则彼亦且此也。”</w:t>
      </w:r>
    </w:p>
  </w:footnote>
  <w:footnote w:id="45">
    <w:p>
      <w:pPr>
        <w:pStyle w:val="7"/>
        <w:snapToGrid w:val="0"/>
      </w:pPr>
      <w:r>
        <w:rPr>
          <w:rStyle w:val="14"/>
        </w:rPr>
        <w:footnoteRef/>
      </w:r>
      <w:r>
        <w:t xml:space="preserve"> </w:t>
      </w:r>
      <w:r>
        <w:rPr>
          <w:rFonts w:hint="eastAsia"/>
          <w:lang w:eastAsia="zh-CN"/>
        </w:rPr>
        <w:t>《经说下》提出了判别物类的依据：“偏有偏无有”（“偏”字解为“遍”），即只有当一物类具有在其类中普遍具有而其他物类普遍不具有的性质时，这一物类才成立。只有这样才能保证“以名举实”的正确性。</w:t>
      </w:r>
    </w:p>
  </w:footnote>
  <w:footnote w:id="46">
    <w:p>
      <w:pPr>
        <w:pStyle w:val="7"/>
        <w:snapToGrid w:val="0"/>
      </w:pPr>
      <w:r>
        <w:rPr>
          <w:rStyle w:val="14"/>
        </w:rPr>
        <w:footnoteRef/>
      </w:r>
      <w:r>
        <w:t xml:space="preserve"> </w:t>
      </w:r>
      <w:r>
        <w:rPr>
          <w:rFonts w:hint="eastAsia"/>
          <w:lang w:eastAsia="zh-CN"/>
        </w:rPr>
        <w:t>大意是：没有什么不如此。“尽”被视为全称判断。在“言为尽悖”是对“言”指称的全部对象的判断。</w:t>
      </w:r>
    </w:p>
  </w:footnote>
  <w:footnote w:id="47">
    <w:p>
      <w:pPr>
        <w:pStyle w:val="7"/>
        <w:snapToGrid w:val="0"/>
        <w:rPr>
          <w:rFonts w:hint="eastAsia" w:asciiTheme="minorEastAsia" w:hAnsiTheme="minorEastAsia" w:eastAsiaTheme="minorEastAsia" w:cstheme="minorEastAsia"/>
        </w:rPr>
      </w:pPr>
      <w:r>
        <w:rPr>
          <w:rStyle w:val="14"/>
        </w:rPr>
        <w:footnoteRef/>
      </w:r>
      <w:r>
        <w:t xml:space="preserve"> </w:t>
      </w:r>
      <w:r>
        <w:rPr>
          <w:rFonts w:hint="eastAsia" w:asciiTheme="minorEastAsia" w:hAnsiTheme="minorEastAsia" w:eastAsiaTheme="minorEastAsia" w:cstheme="minorEastAsia"/>
          <w:lang w:eastAsia="zh-CN"/>
        </w:rPr>
        <w:t>刘培育主编：《中国古代哲学精华》，兰州：甘肃人民出版社，</w:t>
      </w:r>
      <w:r>
        <w:rPr>
          <w:rFonts w:hint="eastAsia" w:asciiTheme="minorEastAsia" w:hAnsiTheme="minorEastAsia" w:eastAsiaTheme="minorEastAsia" w:cstheme="minorEastAsia"/>
          <w:lang w:val="en-US" w:eastAsia="zh-CN"/>
        </w:rPr>
        <w:t>1992年，第274－275页，转引自刘明明著《中国古代推类逻辑研究》，第20页。</w:t>
      </w:r>
    </w:p>
  </w:footnote>
  <w:footnote w:id="48">
    <w:p>
      <w:pPr>
        <w:pStyle w:val="7"/>
      </w:pPr>
      <w:r>
        <w:rPr>
          <w:rStyle w:val="14"/>
        </w:rPr>
        <w:footnoteRef/>
      </w:r>
      <w:r>
        <w:rPr>
          <w:rFonts w:hint="eastAsia" w:asciiTheme="minorEastAsia" w:hAnsiTheme="minorEastAsia" w:cstheme="minorEastAsia"/>
          <w:lang w:val="en-US" w:eastAsia="zh-CN"/>
        </w:rPr>
        <w:t xml:space="preserve"> 参考</w:t>
      </w:r>
      <w:r>
        <w:rPr>
          <w:rFonts w:hint="eastAsia" w:asciiTheme="minorEastAsia" w:hAnsiTheme="minorEastAsia" w:cstheme="minorEastAsia"/>
        </w:rPr>
        <w:t>温公颐</w:t>
      </w:r>
      <w:r>
        <w:rPr>
          <w:rFonts w:hint="eastAsia" w:asciiTheme="minorEastAsia" w:hAnsiTheme="minorEastAsia" w:cstheme="minorEastAsia"/>
          <w:lang w:eastAsia="zh-CN"/>
        </w:rPr>
        <w:t>、</w:t>
      </w:r>
      <w:r>
        <w:rPr>
          <w:rFonts w:hint="eastAsia" w:asciiTheme="minorEastAsia" w:hAnsiTheme="minorEastAsia" w:cstheme="minorEastAsia"/>
        </w:rPr>
        <w:t>崔清田主编</w:t>
      </w:r>
      <w:r>
        <w:rPr>
          <w:rFonts w:hint="eastAsia" w:asciiTheme="minorEastAsia" w:hAnsiTheme="minorEastAsia" w:cstheme="minorEastAsia"/>
          <w:lang w:eastAsia="zh-CN"/>
        </w:rPr>
        <w:t>：</w:t>
      </w:r>
      <w:r>
        <w:rPr>
          <w:rFonts w:hint="eastAsia" w:asciiTheme="minorEastAsia" w:hAnsiTheme="minorEastAsia" w:cstheme="minorEastAsia"/>
        </w:rPr>
        <w:t>《中国逻辑史教程》，天津：南开大学出版社，2012年，第110页</w:t>
      </w:r>
      <w:r>
        <w:rPr>
          <w:rFonts w:hint="eastAsia"/>
        </w:rPr>
        <w:t>。</w:t>
      </w:r>
    </w:p>
  </w:footnote>
  <w:footnote w:id="49">
    <w:p>
      <w:pPr>
        <w:pStyle w:val="7"/>
        <w:snapToGrid w:val="0"/>
      </w:pPr>
      <w:r>
        <w:rPr>
          <w:rStyle w:val="14"/>
        </w:rPr>
        <w:footnoteRef/>
      </w:r>
      <w:r>
        <w:t xml:space="preserve"> </w:t>
      </w:r>
      <w:r>
        <w:rPr>
          <w:rFonts w:hint="eastAsia"/>
          <w:lang w:eastAsia="zh-CN"/>
        </w:rPr>
        <w:t>类观念从个别到特殊再到一般的演变是指上文论述过的“类”转变为明确的逻辑范畴之前的概念含义，由于“类”与兽名、祭名有关的个别含义对研究类范畴的逻辑意义不大，且兽名还属于传说，故上文的节标题只言“从特殊到一般的演进”。</w:t>
      </w:r>
    </w:p>
  </w:footnote>
  <w:footnote w:id="50">
    <w:p>
      <w:pPr>
        <w:pStyle w:val="7"/>
        <w:snapToGrid w:val="0"/>
      </w:pPr>
      <w:r>
        <w:rPr>
          <w:rStyle w:val="14"/>
        </w:rPr>
        <w:footnoteRef/>
      </w:r>
      <w:r>
        <w:t xml:space="preserve"> </w:t>
      </w:r>
      <w:r>
        <w:rPr>
          <w:rFonts w:hint="eastAsia"/>
          <w:lang w:eastAsia="zh-CN"/>
        </w:rPr>
        <w:t>根据中国古代逻辑推理的显著特点——“据类以推”而称之为“推类逻辑”，这与“数理逻辑”、“模态逻辑”等的取名是相似的。</w:t>
      </w:r>
    </w:p>
  </w:footnote>
  <w:footnote w:id="51">
    <w:p>
      <w:pPr>
        <w:pStyle w:val="7"/>
        <w:snapToGrid w:val="0"/>
        <w:rPr>
          <w:rFonts w:hint="eastAsia" w:asciiTheme="minorEastAsia" w:hAnsiTheme="minorEastAsia" w:eastAsiaTheme="minorEastAsia" w:cstheme="minorEastAsia"/>
        </w:rPr>
      </w:pPr>
      <w:r>
        <w:rPr>
          <w:rStyle w:val="14"/>
        </w:rPr>
        <w:footnoteRef/>
      </w:r>
      <w:r>
        <w:t xml:space="preserve"> </w:t>
      </w:r>
      <w:r>
        <w:rPr>
          <w:rFonts w:hint="eastAsia"/>
          <w:lang w:eastAsia="zh-CN"/>
        </w:rPr>
        <w:t>参见崔清田：《中国逻辑的推类》，</w:t>
      </w:r>
      <w:r>
        <w:rPr>
          <w:rFonts w:hint="eastAsia"/>
        </w:rPr>
        <w:t>《哲学与文化——中国逻辑专题》</w:t>
      </w:r>
      <w:r>
        <w:rPr>
          <w:rFonts w:hint="eastAsia"/>
          <w:lang w:eastAsia="zh-CN"/>
        </w:rPr>
        <w:t>台北：哲学与文化月刊杂志社，</w:t>
      </w:r>
      <w:r>
        <w:rPr>
          <w:rFonts w:hint="eastAsia" w:asciiTheme="minorEastAsia" w:hAnsiTheme="minorEastAsia" w:eastAsiaTheme="minorEastAsia" w:cstheme="minorEastAsia"/>
          <w:highlight w:val="none"/>
        </w:rPr>
        <w:t>2003年</w:t>
      </w:r>
      <w:r>
        <w:rPr>
          <w:rFonts w:hint="eastAsia" w:asciiTheme="minorEastAsia" w:hAnsiTheme="minorEastAsia" w:eastAsiaTheme="minorEastAsia" w:cstheme="minorEastAsia"/>
        </w:rPr>
        <w:t>，第355期，第</w:t>
      </w:r>
      <w:r>
        <w:rPr>
          <w:rFonts w:hint="eastAsia" w:asciiTheme="minorEastAsia" w:hAnsiTheme="minorEastAsia" w:eastAsiaTheme="minorEastAsia" w:cstheme="minorEastAsia"/>
          <w:lang w:val="en-US" w:eastAsia="zh-CN"/>
        </w:rPr>
        <w:t>54页。</w:t>
      </w:r>
    </w:p>
  </w:footnote>
  <w:footnote w:id="52">
    <w:p>
      <w:pPr>
        <w:pStyle w:val="7"/>
        <w:snapToGrid w:val="0"/>
      </w:pPr>
      <w:r>
        <w:rPr>
          <w:rStyle w:val="14"/>
        </w:rPr>
        <w:footnoteRef/>
      </w:r>
      <w:r>
        <w:t xml:space="preserve"> </w:t>
      </w:r>
      <w:r>
        <w:rPr>
          <w:rFonts w:hint="eastAsia"/>
          <w:lang w:eastAsia="zh-CN"/>
        </w:rPr>
        <w:t>《墨辩》在深入探讨“类”范畴在推类中应用的基础上，提出了“以类为推”、“异类不比”和“察类大小”的原则。《经下》云：“止类以行之，说在同。”这就是说推类必须在确定的同类事物间进行，也就是以类为推。《经下》云：“异类不比，说在量。”“异类不比”就是强调异类事物之间因为存在性质和度量标准的不同，不能进行推类。《经下》云：“推类之难。说在名之大小。”这是说推类一定要考察类的大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jc w:val="center"/>
      <w:rPr>
        <w:rFonts w:hint="eastAsia" w:ascii="楷体" w:hAnsi="楷体" w:eastAsia="楷体" w:cs="楷体"/>
        <w:lang w:eastAsia="zh-CN"/>
      </w:rPr>
    </w:pPr>
    <w:r>
      <w:rPr>
        <w:rFonts w:hint="eastAsia" w:ascii="楷体" w:hAnsi="楷体" w:eastAsia="楷体" w:cs="楷体"/>
        <w:lang w:eastAsia="zh-CN"/>
      </w:rPr>
      <w:t>中国古代推类逻辑思想的发生与形成</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jc w:val="center"/>
      <w:rPr>
        <w:rFonts w:hint="eastAsia" w:ascii="楷体" w:hAnsi="楷体" w:eastAsia="楷体" w:cs="楷体"/>
        <w:lang w:eastAsia="zh-CN"/>
      </w:rPr>
    </w:pPr>
    <w:r>
      <w:rPr>
        <w:rFonts w:hint="eastAsia" w:ascii="楷体" w:hAnsi="楷体" w:eastAsia="楷体" w:cs="楷体"/>
        <w:lang w:eastAsia="zh-CN"/>
      </w:rPr>
      <w:t>中国古代推类逻辑思想的发生与形成</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F7B22"/>
    <w:multiLevelType w:val="singleLevel"/>
    <w:tmpl w:val="58DF7B22"/>
    <w:lvl w:ilvl="0" w:tentative="0">
      <w:start w:val="1"/>
      <w:numFmt w:val="decimal"/>
      <w:suff w:val="nothing"/>
      <w:lvlText w:val="（%1）"/>
      <w:lvlJc w:val="left"/>
    </w:lvl>
  </w:abstractNum>
  <w:abstractNum w:abstractNumId="1">
    <w:nsid w:val="58E4A253"/>
    <w:multiLevelType w:val="singleLevel"/>
    <w:tmpl w:val="58E4A253"/>
    <w:lvl w:ilvl="0" w:tentative="0">
      <w:start w:val="1"/>
      <w:numFmt w:val="decimal"/>
      <w:suff w:val="nothing"/>
      <w:lvlText w:val="%1、"/>
      <w:lvlJc w:val="left"/>
    </w:lvl>
  </w:abstractNum>
  <w:abstractNum w:abstractNumId="2">
    <w:nsid w:val="58E64250"/>
    <w:multiLevelType w:val="singleLevel"/>
    <w:tmpl w:val="58E64250"/>
    <w:lvl w:ilvl="0" w:tentative="0">
      <w:start w:val="4"/>
      <w:numFmt w:val="chineseCounting"/>
      <w:suff w:val="nothing"/>
      <w:lvlText w:val="%1、"/>
      <w:lvlJc w:val="left"/>
    </w:lvl>
  </w:abstractNum>
  <w:abstractNum w:abstractNumId="3">
    <w:nsid w:val="58EA2282"/>
    <w:multiLevelType w:val="singleLevel"/>
    <w:tmpl w:val="58EA2282"/>
    <w:lvl w:ilvl="0" w:tentative="0">
      <w:start w:val="1"/>
      <w:numFmt w:val="decimal"/>
      <w:suff w:val="nothing"/>
      <w:lvlText w:val="%1、"/>
      <w:lvlJc w:val="left"/>
    </w:lvl>
  </w:abstractNum>
  <w:abstractNum w:abstractNumId="4">
    <w:nsid w:val="58F77088"/>
    <w:multiLevelType w:val="singleLevel"/>
    <w:tmpl w:val="58F77088"/>
    <w:lvl w:ilvl="0" w:tentative="0">
      <w:start w:val="1"/>
      <w:numFmt w:val="decimal"/>
      <w:suff w:val="nothing"/>
      <w:lvlText w:val="%1、"/>
      <w:lvlJc w:val="left"/>
    </w:lvl>
  </w:abstractNum>
  <w:abstractNum w:abstractNumId="5">
    <w:nsid w:val="58F7753F"/>
    <w:multiLevelType w:val="singleLevel"/>
    <w:tmpl w:val="58F7753F"/>
    <w:lvl w:ilvl="0" w:tentative="0">
      <w:start w:val="4"/>
      <w:numFmt w:val="chineseCounting"/>
      <w:suff w:val="nothing"/>
      <w:lvlText w:val="%1、"/>
      <w:lvlJc w:val="left"/>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numRestart w:val="eachPage"/>
  </w:foot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3A18BD"/>
    <w:rsid w:val="000C289F"/>
    <w:rsid w:val="000D4E0F"/>
    <w:rsid w:val="00101A59"/>
    <w:rsid w:val="003A18BD"/>
    <w:rsid w:val="00500963"/>
    <w:rsid w:val="00501DEA"/>
    <w:rsid w:val="006A4A29"/>
    <w:rsid w:val="00702282"/>
    <w:rsid w:val="0077404B"/>
    <w:rsid w:val="008567B8"/>
    <w:rsid w:val="00910D9B"/>
    <w:rsid w:val="00A609DC"/>
    <w:rsid w:val="00DC1854"/>
    <w:rsid w:val="00ED3CF3"/>
    <w:rsid w:val="00F35725"/>
    <w:rsid w:val="0106535D"/>
    <w:rsid w:val="01283825"/>
    <w:rsid w:val="01D51ED9"/>
    <w:rsid w:val="027D638D"/>
    <w:rsid w:val="02EB5E78"/>
    <w:rsid w:val="030716C0"/>
    <w:rsid w:val="03B2472E"/>
    <w:rsid w:val="0418311C"/>
    <w:rsid w:val="050D6E82"/>
    <w:rsid w:val="05366A96"/>
    <w:rsid w:val="05485E45"/>
    <w:rsid w:val="05CB0BCD"/>
    <w:rsid w:val="05D52057"/>
    <w:rsid w:val="05E62882"/>
    <w:rsid w:val="06CD5B5A"/>
    <w:rsid w:val="06DA31A4"/>
    <w:rsid w:val="07396EFB"/>
    <w:rsid w:val="076772C7"/>
    <w:rsid w:val="07A559E6"/>
    <w:rsid w:val="07A64B64"/>
    <w:rsid w:val="07D202A6"/>
    <w:rsid w:val="07DA55D8"/>
    <w:rsid w:val="08F5657E"/>
    <w:rsid w:val="09A66898"/>
    <w:rsid w:val="0A2879B2"/>
    <w:rsid w:val="0AB83158"/>
    <w:rsid w:val="0AEA5956"/>
    <w:rsid w:val="0B8C424C"/>
    <w:rsid w:val="0C1D5E4E"/>
    <w:rsid w:val="0CDA37E3"/>
    <w:rsid w:val="0D4664D5"/>
    <w:rsid w:val="0D853A6C"/>
    <w:rsid w:val="0DC134E8"/>
    <w:rsid w:val="0DD566DD"/>
    <w:rsid w:val="0DFF3D41"/>
    <w:rsid w:val="0E791C3B"/>
    <w:rsid w:val="0EFF5643"/>
    <w:rsid w:val="0FA362D9"/>
    <w:rsid w:val="0FA6768E"/>
    <w:rsid w:val="10937C77"/>
    <w:rsid w:val="119F1CBF"/>
    <w:rsid w:val="11AB7047"/>
    <w:rsid w:val="11BE20F6"/>
    <w:rsid w:val="120A5459"/>
    <w:rsid w:val="12340A9C"/>
    <w:rsid w:val="12A72810"/>
    <w:rsid w:val="12B60F73"/>
    <w:rsid w:val="130961CA"/>
    <w:rsid w:val="13133862"/>
    <w:rsid w:val="134A5F71"/>
    <w:rsid w:val="137D1FAA"/>
    <w:rsid w:val="139C4602"/>
    <w:rsid w:val="13A45632"/>
    <w:rsid w:val="14A47FF9"/>
    <w:rsid w:val="14BD4969"/>
    <w:rsid w:val="152555CB"/>
    <w:rsid w:val="157303D9"/>
    <w:rsid w:val="157845DA"/>
    <w:rsid w:val="15A96786"/>
    <w:rsid w:val="15F21646"/>
    <w:rsid w:val="16597AA6"/>
    <w:rsid w:val="167371BA"/>
    <w:rsid w:val="16897EC5"/>
    <w:rsid w:val="16E52EEA"/>
    <w:rsid w:val="177349DD"/>
    <w:rsid w:val="17A8649F"/>
    <w:rsid w:val="17C95313"/>
    <w:rsid w:val="17D6287A"/>
    <w:rsid w:val="18322F57"/>
    <w:rsid w:val="18387F9E"/>
    <w:rsid w:val="1844444B"/>
    <w:rsid w:val="18AC2A4D"/>
    <w:rsid w:val="195A396D"/>
    <w:rsid w:val="1A3E5964"/>
    <w:rsid w:val="1A8C5B24"/>
    <w:rsid w:val="1ACE2B07"/>
    <w:rsid w:val="1B484F2F"/>
    <w:rsid w:val="1BB74BAC"/>
    <w:rsid w:val="1BBB165A"/>
    <w:rsid w:val="1BD262CE"/>
    <w:rsid w:val="1C1966AE"/>
    <w:rsid w:val="1C250DB4"/>
    <w:rsid w:val="1C365FA7"/>
    <w:rsid w:val="1C642AC7"/>
    <w:rsid w:val="1C871933"/>
    <w:rsid w:val="1D132886"/>
    <w:rsid w:val="1D3F753D"/>
    <w:rsid w:val="1D67557A"/>
    <w:rsid w:val="1E9D375D"/>
    <w:rsid w:val="1F122EF1"/>
    <w:rsid w:val="1F225DC2"/>
    <w:rsid w:val="1F8834AB"/>
    <w:rsid w:val="20073A67"/>
    <w:rsid w:val="20A9623F"/>
    <w:rsid w:val="20B119A1"/>
    <w:rsid w:val="211C19D4"/>
    <w:rsid w:val="21C44BC4"/>
    <w:rsid w:val="21DD09B3"/>
    <w:rsid w:val="22D7206E"/>
    <w:rsid w:val="22F26D0A"/>
    <w:rsid w:val="232718FA"/>
    <w:rsid w:val="238A344B"/>
    <w:rsid w:val="23DD0A5A"/>
    <w:rsid w:val="24077C67"/>
    <w:rsid w:val="24931C13"/>
    <w:rsid w:val="24CF7DA3"/>
    <w:rsid w:val="256D27EC"/>
    <w:rsid w:val="26A75318"/>
    <w:rsid w:val="26CE2BEF"/>
    <w:rsid w:val="27BC3392"/>
    <w:rsid w:val="284D7442"/>
    <w:rsid w:val="28D71C87"/>
    <w:rsid w:val="28F9050D"/>
    <w:rsid w:val="293D3C70"/>
    <w:rsid w:val="29C20CA5"/>
    <w:rsid w:val="2A6F320C"/>
    <w:rsid w:val="2AA9086D"/>
    <w:rsid w:val="2B6A23C9"/>
    <w:rsid w:val="2B743500"/>
    <w:rsid w:val="2C100997"/>
    <w:rsid w:val="2C2B3B15"/>
    <w:rsid w:val="2C5210F7"/>
    <w:rsid w:val="2CFD0D02"/>
    <w:rsid w:val="2D4C0580"/>
    <w:rsid w:val="2D525D40"/>
    <w:rsid w:val="2D955F19"/>
    <w:rsid w:val="2DD24695"/>
    <w:rsid w:val="2E2A53C0"/>
    <w:rsid w:val="2E4E1B24"/>
    <w:rsid w:val="2E5A25FC"/>
    <w:rsid w:val="2EE3508E"/>
    <w:rsid w:val="306C7578"/>
    <w:rsid w:val="30FF2067"/>
    <w:rsid w:val="310828DB"/>
    <w:rsid w:val="310A2255"/>
    <w:rsid w:val="32D162F1"/>
    <w:rsid w:val="32D70E2A"/>
    <w:rsid w:val="32DC2195"/>
    <w:rsid w:val="3398227D"/>
    <w:rsid w:val="341B2C4E"/>
    <w:rsid w:val="341E0396"/>
    <w:rsid w:val="34333B98"/>
    <w:rsid w:val="3454310A"/>
    <w:rsid w:val="3526506B"/>
    <w:rsid w:val="352F0CD0"/>
    <w:rsid w:val="365778A1"/>
    <w:rsid w:val="365B7026"/>
    <w:rsid w:val="369B65E4"/>
    <w:rsid w:val="36A03D8E"/>
    <w:rsid w:val="36FD55CC"/>
    <w:rsid w:val="373175B5"/>
    <w:rsid w:val="37433563"/>
    <w:rsid w:val="37E912BF"/>
    <w:rsid w:val="38405370"/>
    <w:rsid w:val="38BC56B6"/>
    <w:rsid w:val="38C642BE"/>
    <w:rsid w:val="392E4508"/>
    <w:rsid w:val="39550951"/>
    <w:rsid w:val="39E725C6"/>
    <w:rsid w:val="39EB2334"/>
    <w:rsid w:val="3AE26156"/>
    <w:rsid w:val="3AEC5AFA"/>
    <w:rsid w:val="3C4C7E88"/>
    <w:rsid w:val="3C866FEF"/>
    <w:rsid w:val="3D5A11A9"/>
    <w:rsid w:val="3D5C1049"/>
    <w:rsid w:val="3D9A78EE"/>
    <w:rsid w:val="3E21289A"/>
    <w:rsid w:val="3E3B145F"/>
    <w:rsid w:val="3EB24110"/>
    <w:rsid w:val="3EBB2078"/>
    <w:rsid w:val="3EED4BEE"/>
    <w:rsid w:val="4018067C"/>
    <w:rsid w:val="40D45DC9"/>
    <w:rsid w:val="413D67A5"/>
    <w:rsid w:val="41733FFE"/>
    <w:rsid w:val="41C047FC"/>
    <w:rsid w:val="41D901BC"/>
    <w:rsid w:val="41E169F4"/>
    <w:rsid w:val="42BE56A8"/>
    <w:rsid w:val="439208F0"/>
    <w:rsid w:val="43AA2C77"/>
    <w:rsid w:val="43EF44D3"/>
    <w:rsid w:val="444E37A5"/>
    <w:rsid w:val="446347CE"/>
    <w:rsid w:val="44E26E1C"/>
    <w:rsid w:val="44FB323A"/>
    <w:rsid w:val="459710A7"/>
    <w:rsid w:val="459F423D"/>
    <w:rsid w:val="45B26857"/>
    <w:rsid w:val="45E045E9"/>
    <w:rsid w:val="46A45E10"/>
    <w:rsid w:val="47616C0F"/>
    <w:rsid w:val="47B55AC4"/>
    <w:rsid w:val="47B866F2"/>
    <w:rsid w:val="484A784B"/>
    <w:rsid w:val="485F1C1A"/>
    <w:rsid w:val="491332A2"/>
    <w:rsid w:val="49790CDD"/>
    <w:rsid w:val="49B4254D"/>
    <w:rsid w:val="4A4444E9"/>
    <w:rsid w:val="4A5115BC"/>
    <w:rsid w:val="4A762611"/>
    <w:rsid w:val="4ABD4C00"/>
    <w:rsid w:val="4AE87D65"/>
    <w:rsid w:val="4B324F9B"/>
    <w:rsid w:val="4B3F78AE"/>
    <w:rsid w:val="4BF52479"/>
    <w:rsid w:val="4C1B776F"/>
    <w:rsid w:val="4C4E4A11"/>
    <w:rsid w:val="4C8B217A"/>
    <w:rsid w:val="4C90235E"/>
    <w:rsid w:val="4CC51E43"/>
    <w:rsid w:val="4CDC3398"/>
    <w:rsid w:val="4D2D2F94"/>
    <w:rsid w:val="4D5C5417"/>
    <w:rsid w:val="4DBB21BB"/>
    <w:rsid w:val="4E543908"/>
    <w:rsid w:val="4E586F74"/>
    <w:rsid w:val="4F3A7F0A"/>
    <w:rsid w:val="4FF503E2"/>
    <w:rsid w:val="500C32EB"/>
    <w:rsid w:val="506B7393"/>
    <w:rsid w:val="506C55A9"/>
    <w:rsid w:val="50A64109"/>
    <w:rsid w:val="50A94CF2"/>
    <w:rsid w:val="50C2519A"/>
    <w:rsid w:val="50E136A0"/>
    <w:rsid w:val="516426C6"/>
    <w:rsid w:val="5172492B"/>
    <w:rsid w:val="51C3189B"/>
    <w:rsid w:val="51EF1A35"/>
    <w:rsid w:val="538962CB"/>
    <w:rsid w:val="546960F3"/>
    <w:rsid w:val="554D2EEB"/>
    <w:rsid w:val="56760BF3"/>
    <w:rsid w:val="571B6487"/>
    <w:rsid w:val="5798495E"/>
    <w:rsid w:val="57F47D50"/>
    <w:rsid w:val="58840076"/>
    <w:rsid w:val="58A84F7F"/>
    <w:rsid w:val="59686C85"/>
    <w:rsid w:val="596E029A"/>
    <w:rsid w:val="59776550"/>
    <w:rsid w:val="59F42859"/>
    <w:rsid w:val="5A980BF0"/>
    <w:rsid w:val="5B890735"/>
    <w:rsid w:val="5B94603F"/>
    <w:rsid w:val="5BD65F86"/>
    <w:rsid w:val="5BDE4495"/>
    <w:rsid w:val="5C913205"/>
    <w:rsid w:val="5CE237D5"/>
    <w:rsid w:val="5D1D793E"/>
    <w:rsid w:val="5D6418E7"/>
    <w:rsid w:val="5D6D3B34"/>
    <w:rsid w:val="5D6D3C96"/>
    <w:rsid w:val="5E220BE8"/>
    <w:rsid w:val="5E3548D7"/>
    <w:rsid w:val="5F0F2BAD"/>
    <w:rsid w:val="5FBA004B"/>
    <w:rsid w:val="5FD316BF"/>
    <w:rsid w:val="610F5812"/>
    <w:rsid w:val="614D20CF"/>
    <w:rsid w:val="61577940"/>
    <w:rsid w:val="61685DBC"/>
    <w:rsid w:val="61715AC5"/>
    <w:rsid w:val="61BC7B02"/>
    <w:rsid w:val="61F716AA"/>
    <w:rsid w:val="6238212D"/>
    <w:rsid w:val="64267121"/>
    <w:rsid w:val="645F1D0D"/>
    <w:rsid w:val="64E82C13"/>
    <w:rsid w:val="65BA7B7F"/>
    <w:rsid w:val="65F235A9"/>
    <w:rsid w:val="67512178"/>
    <w:rsid w:val="67B031E6"/>
    <w:rsid w:val="67F60536"/>
    <w:rsid w:val="68EB0AEE"/>
    <w:rsid w:val="691472FB"/>
    <w:rsid w:val="694641A6"/>
    <w:rsid w:val="6A4C0966"/>
    <w:rsid w:val="6A617C95"/>
    <w:rsid w:val="6A9702E6"/>
    <w:rsid w:val="6AA61B89"/>
    <w:rsid w:val="6AE7262A"/>
    <w:rsid w:val="6AF81EB3"/>
    <w:rsid w:val="6B1F50BB"/>
    <w:rsid w:val="6B844715"/>
    <w:rsid w:val="6C3272ED"/>
    <w:rsid w:val="6C5D6F38"/>
    <w:rsid w:val="6D586D08"/>
    <w:rsid w:val="6D8616F6"/>
    <w:rsid w:val="6E025E41"/>
    <w:rsid w:val="6EC675EC"/>
    <w:rsid w:val="6EE00C8D"/>
    <w:rsid w:val="6F446424"/>
    <w:rsid w:val="6F625D1A"/>
    <w:rsid w:val="70247638"/>
    <w:rsid w:val="706662F6"/>
    <w:rsid w:val="708B3B30"/>
    <w:rsid w:val="70F52B89"/>
    <w:rsid w:val="71786F10"/>
    <w:rsid w:val="7235149D"/>
    <w:rsid w:val="72E44E56"/>
    <w:rsid w:val="73072B4F"/>
    <w:rsid w:val="733275D0"/>
    <w:rsid w:val="73771A5A"/>
    <w:rsid w:val="73A72338"/>
    <w:rsid w:val="73F17486"/>
    <w:rsid w:val="744C1FF7"/>
    <w:rsid w:val="75300756"/>
    <w:rsid w:val="75FF524D"/>
    <w:rsid w:val="76043B1C"/>
    <w:rsid w:val="768467EA"/>
    <w:rsid w:val="77C52B25"/>
    <w:rsid w:val="782C2D09"/>
    <w:rsid w:val="786F0965"/>
    <w:rsid w:val="788A7826"/>
    <w:rsid w:val="78AC4B5A"/>
    <w:rsid w:val="78E66E61"/>
    <w:rsid w:val="78F17F56"/>
    <w:rsid w:val="793F36E4"/>
    <w:rsid w:val="795B233E"/>
    <w:rsid w:val="798D7949"/>
    <w:rsid w:val="7A176D4C"/>
    <w:rsid w:val="7A4540E5"/>
    <w:rsid w:val="7A7C41F2"/>
    <w:rsid w:val="7A9D41AC"/>
    <w:rsid w:val="7B321301"/>
    <w:rsid w:val="7B487E0B"/>
    <w:rsid w:val="7B587A45"/>
    <w:rsid w:val="7B722B75"/>
    <w:rsid w:val="7BC40602"/>
    <w:rsid w:val="7C0809AA"/>
    <w:rsid w:val="7C6B3952"/>
    <w:rsid w:val="7C8778FD"/>
    <w:rsid w:val="7CBB4D8E"/>
    <w:rsid w:val="7CDD164B"/>
    <w:rsid w:val="7D097FF1"/>
    <w:rsid w:val="7D562F60"/>
    <w:rsid w:val="7D883C44"/>
    <w:rsid w:val="7D8C645A"/>
    <w:rsid w:val="7EC44C3A"/>
    <w:rsid w:val="7EC65532"/>
    <w:rsid w:val="7F4624BF"/>
    <w:rsid w:val="7F5127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0">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4">
    <w:name w:val="Body Text"/>
    <w:basedOn w:val="1"/>
    <w:uiPriority w:val="0"/>
    <w:pPr>
      <w:spacing w:after="120"/>
    </w:p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footnote text"/>
    <w:basedOn w:val="1"/>
    <w:qFormat/>
    <w:uiPriority w:val="0"/>
    <w:pPr>
      <w:snapToGrid w:val="0"/>
      <w:jc w:val="left"/>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qFormat/>
    <w:uiPriority w:val="0"/>
    <w:pPr>
      <w:spacing w:before="0" w:beforeAutospacing="1" w:after="0" w:afterAutospacing="1"/>
      <w:ind w:left="0" w:right="0"/>
      <w:jc w:val="left"/>
    </w:pPr>
    <w:rPr>
      <w:kern w:val="0"/>
      <w:sz w:val="24"/>
      <w:u w:val="none"/>
      <w:lang w:val="en-US" w:eastAsia="zh-CN" w:bidi="ar"/>
    </w:rPr>
  </w:style>
  <w:style w:type="character" w:styleId="11">
    <w:name w:val="FollowedHyperlink"/>
    <w:basedOn w:val="10"/>
    <w:qFormat/>
    <w:uiPriority w:val="0"/>
    <w:rPr>
      <w:color w:val="800080"/>
      <w:u w:val="none"/>
    </w:rPr>
  </w:style>
  <w:style w:type="character" w:styleId="12">
    <w:name w:val="Emphasis"/>
    <w:basedOn w:val="10"/>
    <w:qFormat/>
    <w:uiPriority w:val="0"/>
    <w:rPr>
      <w:i/>
    </w:rPr>
  </w:style>
  <w:style w:type="character" w:styleId="13">
    <w:name w:val="Hyperlink"/>
    <w:basedOn w:val="10"/>
    <w:qFormat/>
    <w:uiPriority w:val="0"/>
    <w:rPr>
      <w:color w:val="0000FF"/>
      <w:u w:val="none"/>
    </w:rPr>
  </w:style>
  <w:style w:type="character" w:styleId="14">
    <w:name w:val="footnote reference"/>
    <w:basedOn w:val="10"/>
    <w:qFormat/>
    <w:uiPriority w:val="0"/>
    <w:rPr>
      <w:vertAlign w:val="superscript"/>
    </w:rPr>
  </w:style>
  <w:style w:type="table" w:styleId="16">
    <w:name w:val="Table Grid"/>
    <w:basedOn w:val="1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7">
    <w:name w:val="List Paragraph"/>
    <w:basedOn w:val="1"/>
    <w:unhideWhenUsed/>
    <w:qFormat/>
    <w:uiPriority w:val="99"/>
    <w:pPr>
      <w:ind w:firstLine="420" w:firstLineChars="200"/>
    </w:pPr>
  </w:style>
  <w:style w:type="paragraph" w:customStyle="1" w:styleId="18">
    <w:name w:val="p0"/>
    <w:basedOn w:val="1"/>
    <w:qFormat/>
    <w:uiPriority w:val="99"/>
    <w:pPr>
      <w:widowControl/>
    </w:pPr>
    <w:rPr>
      <w:rFonts w:ascii="Calibri" w:hAnsi="Calibri" w:eastAsia="宋体" w:cs="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textRotate="1"/>
    <customShpInfo spid="_x0000_s1029"/>
    <customShpInfo spid="_x0000_s1040"/>
    <customShpInfo spid="_x0000_s1041"/>
    <customShpInfo spid="_x0000_s1032"/>
    <customShpInfo spid="_x0000_s1033"/>
    <customShpInfo spid="_x0000_s1046"/>
    <customShpInfo spid="_x0000_s1044"/>
    <customShpInfo spid="_x0000_s1043"/>
    <customShpInfo spid="_x0000_s1042"/>
    <customShpInfo spid="_x0000_s1039"/>
    <customShpInfo spid="_x0000_s1035"/>
    <customShpInfo spid="_x0000_s1034"/>
    <customShpInfo spid="_x0000_s1047"/>
    <customShpInfo spid="_x0000_s104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104</Words>
  <Characters>593</Characters>
  <Lines>4</Lines>
  <Paragraphs>1</Paragraphs>
  <ScaleCrop>false</ScaleCrop>
  <LinksUpToDate>false</LinksUpToDate>
  <CharactersWithSpaces>696</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2017-03-27T16:39:00Z</dcterms:created>
  <dc:creator>Administrator</dc:creator>
  <cp:lastModifiedBy>Administrator</cp:lastModifiedBy>
  <dcterms:modified xsi:type="dcterms:W3CDTF">2017-04-20T10:51:21Z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